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pacing w:line="276" w:lineRule="auto"/>
        <w:jc w:val="center"/>
        <w:rPr>
          <w:color w:val="auto"/>
        </w:rPr>
      </w:pPr>
      <w:r>
        <w:rPr>
          <w:rFonts w:hint="eastAsia"/>
          <w:b/>
          <w:bCs/>
          <w:color w:val="auto"/>
          <w:kern w:val="44"/>
          <w:sz w:val="30"/>
          <w:szCs w:val="30"/>
        </w:rPr>
        <w:t>江西省机电设备招标有限公司关于江西陶瓷工艺美术职业技术学院双人课桌凳采购项目（项目编号：</w:t>
      </w:r>
      <w:r>
        <w:rPr>
          <w:b/>
          <w:bCs/>
          <w:color w:val="auto"/>
          <w:kern w:val="44"/>
          <w:sz w:val="30"/>
          <w:szCs w:val="30"/>
        </w:rPr>
        <w:t>JXTCJDZ201</w:t>
      </w:r>
      <w:r>
        <w:rPr>
          <w:rFonts w:hint="eastAsia"/>
          <w:b/>
          <w:bCs/>
          <w:color w:val="auto"/>
          <w:kern w:val="44"/>
          <w:sz w:val="30"/>
          <w:szCs w:val="30"/>
          <w:lang w:val="en-US" w:eastAsia="zh-CN"/>
        </w:rPr>
        <w:t>20180175</w:t>
      </w:r>
      <w:r>
        <w:rPr>
          <w:rFonts w:hint="eastAsia"/>
          <w:b/>
          <w:bCs/>
          <w:color w:val="auto"/>
          <w:kern w:val="44"/>
          <w:sz w:val="30"/>
          <w:szCs w:val="30"/>
        </w:rPr>
        <w:t>）</w:t>
      </w:r>
      <w:r>
        <w:rPr>
          <w:rFonts w:hint="eastAsia"/>
          <w:b/>
          <w:bCs/>
          <w:color w:val="auto"/>
          <w:kern w:val="44"/>
          <w:sz w:val="30"/>
          <w:szCs w:val="30"/>
          <w:lang w:eastAsia="zh-CN"/>
        </w:rPr>
        <w:t>公开比选</w:t>
      </w:r>
      <w:r>
        <w:rPr>
          <w:b/>
          <w:bCs/>
          <w:color w:val="auto"/>
          <w:kern w:val="44"/>
          <w:sz w:val="30"/>
          <w:szCs w:val="30"/>
        </w:rPr>
        <w:t>公告</w:t>
      </w:r>
    </w:p>
    <w:p>
      <w:pPr>
        <w:pStyle w:val="3"/>
        <w:spacing w:before="240" w:after="120"/>
        <w:rPr>
          <w:color w:val="auto"/>
          <w:szCs w:val="24"/>
        </w:rPr>
      </w:pPr>
      <w:bookmarkStart w:id="0" w:name="_Toc298853201"/>
      <w:bookmarkStart w:id="1" w:name="_Toc30824"/>
      <w:r>
        <w:rPr>
          <w:color w:val="auto"/>
          <w:szCs w:val="24"/>
        </w:rPr>
        <w:t>1</w:t>
      </w:r>
      <w:r>
        <w:rPr>
          <w:rFonts w:hint="eastAsia"/>
          <w:color w:val="auto"/>
          <w:szCs w:val="24"/>
        </w:rPr>
        <w:t>.</w:t>
      </w:r>
      <w:bookmarkEnd w:id="0"/>
      <w:r>
        <w:rPr>
          <w:rFonts w:hint="eastAsia"/>
          <w:color w:val="auto"/>
          <w:szCs w:val="24"/>
        </w:rPr>
        <w:t xml:space="preserve"> 比选条件</w:t>
      </w:r>
      <w:bookmarkEnd w:id="1"/>
    </w:p>
    <w:p>
      <w:pPr>
        <w:tabs>
          <w:tab w:val="left" w:pos="567"/>
        </w:tabs>
        <w:spacing w:line="360" w:lineRule="auto"/>
        <w:ind w:left="311" w:leftChars="148" w:firstLine="396" w:firstLineChars="189"/>
        <w:jc w:val="both"/>
        <w:rPr>
          <w:color w:val="auto"/>
          <w:szCs w:val="21"/>
        </w:rPr>
      </w:pPr>
      <w:r>
        <w:rPr>
          <w:rFonts w:hint="eastAsia"/>
          <w:color w:val="auto"/>
          <w:szCs w:val="21"/>
        </w:rPr>
        <w:t>本项目为</w:t>
      </w:r>
      <w:r>
        <w:rPr>
          <w:rFonts w:hint="eastAsia"/>
          <w:color w:val="auto"/>
          <w:szCs w:val="21"/>
          <w:u w:val="single"/>
        </w:rPr>
        <w:t>江西陶瓷工艺美术职业技术学院双人课桌</w:t>
      </w:r>
      <w:r>
        <w:rPr>
          <w:rFonts w:hint="eastAsia"/>
          <w:color w:val="auto"/>
          <w:szCs w:val="21"/>
          <w:u w:val="single"/>
          <w:lang w:val="en-US" w:eastAsia="zh-CN"/>
        </w:rPr>
        <w:t>凳</w:t>
      </w:r>
      <w:r>
        <w:rPr>
          <w:rFonts w:hint="eastAsia"/>
          <w:color w:val="auto"/>
          <w:szCs w:val="21"/>
          <w:u w:val="single"/>
        </w:rPr>
        <w:t>采购项目</w:t>
      </w:r>
      <w:r>
        <w:rPr>
          <w:rFonts w:hint="eastAsia"/>
          <w:color w:val="auto"/>
          <w:szCs w:val="21"/>
        </w:rPr>
        <w:t>，项目编号</w:t>
      </w:r>
      <w:r>
        <w:rPr>
          <w:rFonts w:hint="eastAsia"/>
          <w:color w:val="auto"/>
          <w:szCs w:val="21"/>
          <w:u w:val="single"/>
        </w:rPr>
        <w:t>JXTCJDZ2020180175</w:t>
      </w:r>
      <w:r>
        <w:rPr>
          <w:rFonts w:hint="eastAsia"/>
          <w:color w:val="auto"/>
          <w:szCs w:val="21"/>
        </w:rPr>
        <w:t>比选人为</w:t>
      </w:r>
      <w:r>
        <w:rPr>
          <w:rFonts w:hint="eastAsia"/>
          <w:color w:val="auto"/>
          <w:szCs w:val="21"/>
          <w:u w:val="single"/>
        </w:rPr>
        <w:t>江西陶瓷工艺美术职业技术学院</w:t>
      </w:r>
      <w:r>
        <w:rPr>
          <w:rFonts w:hint="eastAsia"/>
          <w:color w:val="auto"/>
          <w:szCs w:val="21"/>
        </w:rPr>
        <w:t>，比选代理机构为</w:t>
      </w:r>
      <w:r>
        <w:rPr>
          <w:rFonts w:hint="eastAsia" w:hAnsi="宋体"/>
          <w:bCs/>
          <w:color w:val="auto"/>
          <w:szCs w:val="21"/>
          <w:u w:val="single"/>
        </w:rPr>
        <w:t>江西省机电</w:t>
      </w:r>
      <w:r>
        <w:rPr>
          <w:rFonts w:hAnsi="宋体"/>
          <w:bCs/>
          <w:color w:val="auto"/>
          <w:szCs w:val="21"/>
          <w:u w:val="single"/>
        </w:rPr>
        <w:t>设备招标有限公司</w:t>
      </w:r>
      <w:r>
        <w:rPr>
          <w:rFonts w:hint="eastAsia" w:hAnsi="宋体"/>
          <w:bCs/>
          <w:color w:val="auto"/>
          <w:szCs w:val="21"/>
        </w:rPr>
        <w:t>，</w:t>
      </w:r>
      <w:r>
        <w:rPr>
          <w:rFonts w:hint="eastAsia"/>
          <w:color w:val="auto"/>
          <w:szCs w:val="21"/>
        </w:rPr>
        <w:t>项目场地已具备经营条件，欢迎符合资格条件要求的潜在应答人参与应答。</w:t>
      </w:r>
    </w:p>
    <w:p>
      <w:pPr>
        <w:pStyle w:val="3"/>
        <w:spacing w:before="240" w:after="120"/>
        <w:rPr>
          <w:color w:val="auto"/>
          <w:szCs w:val="24"/>
        </w:rPr>
      </w:pPr>
      <w:bookmarkStart w:id="2" w:name="_Toc22738"/>
      <w:r>
        <w:rPr>
          <w:color w:val="auto"/>
          <w:szCs w:val="24"/>
        </w:rPr>
        <w:t>2.</w:t>
      </w:r>
      <w:r>
        <w:rPr>
          <w:rFonts w:hint="eastAsia"/>
          <w:color w:val="auto"/>
          <w:szCs w:val="24"/>
        </w:rPr>
        <w:t xml:space="preserve"> 项目概况与比选范围</w:t>
      </w:r>
      <w:bookmarkEnd w:id="2"/>
    </w:p>
    <w:tbl>
      <w:tblPr>
        <w:tblStyle w:val="8"/>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89"/>
        <w:gridCol w:w="678"/>
        <w:gridCol w:w="778"/>
        <w:gridCol w:w="1544"/>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61" w:type="dxa"/>
            <w:noWrap w:val="0"/>
            <w:vAlign w:val="center"/>
          </w:tcPr>
          <w:p>
            <w:pPr>
              <w:jc w:val="center"/>
              <w:rPr>
                <w:rFonts w:ascii="宋体" w:hAnsi="宋体" w:eastAsia="宋体" w:cs="Times New Roman"/>
                <w:b/>
                <w:szCs w:val="24"/>
              </w:rPr>
            </w:pPr>
            <w:r>
              <w:rPr>
                <w:rFonts w:hint="eastAsia" w:ascii="宋体" w:hAnsi="宋体" w:eastAsia="宋体" w:cs="Times New Roman"/>
                <w:b/>
                <w:szCs w:val="24"/>
              </w:rPr>
              <w:t>序号</w:t>
            </w:r>
          </w:p>
        </w:tc>
        <w:tc>
          <w:tcPr>
            <w:tcW w:w="1089" w:type="dxa"/>
            <w:noWrap w:val="0"/>
            <w:vAlign w:val="center"/>
          </w:tcPr>
          <w:p>
            <w:pPr>
              <w:widowControl/>
              <w:jc w:val="center"/>
              <w:rPr>
                <w:rFonts w:ascii="宋体" w:hAnsi="宋体" w:eastAsia="宋体" w:cs="Times New Roman"/>
                <w:b/>
                <w:szCs w:val="24"/>
              </w:rPr>
            </w:pPr>
            <w:r>
              <w:rPr>
                <w:rFonts w:hint="eastAsia" w:ascii="宋体" w:hAnsi="宋体" w:eastAsia="宋体" w:cs="Times New Roman"/>
                <w:b/>
                <w:szCs w:val="24"/>
              </w:rPr>
              <w:t>货物名称</w:t>
            </w:r>
          </w:p>
        </w:tc>
        <w:tc>
          <w:tcPr>
            <w:tcW w:w="678" w:type="dxa"/>
            <w:noWrap w:val="0"/>
            <w:vAlign w:val="center"/>
          </w:tcPr>
          <w:p>
            <w:pPr>
              <w:widowControl/>
              <w:jc w:val="center"/>
              <w:rPr>
                <w:rFonts w:hint="eastAsia" w:ascii="宋体" w:hAnsi="宋体" w:eastAsia="宋体" w:cs="Times New Roman"/>
                <w:b/>
                <w:szCs w:val="24"/>
              </w:rPr>
            </w:pPr>
            <w:r>
              <w:rPr>
                <w:rFonts w:hint="eastAsia" w:ascii="宋体" w:hAnsi="宋体" w:eastAsia="宋体" w:cs="Times New Roman"/>
                <w:b/>
                <w:szCs w:val="24"/>
              </w:rPr>
              <w:t>单位</w:t>
            </w:r>
          </w:p>
        </w:tc>
        <w:tc>
          <w:tcPr>
            <w:tcW w:w="778" w:type="dxa"/>
            <w:noWrap w:val="0"/>
            <w:vAlign w:val="center"/>
          </w:tcPr>
          <w:p>
            <w:pPr>
              <w:widowControl/>
              <w:jc w:val="center"/>
              <w:rPr>
                <w:rFonts w:hint="eastAsia" w:ascii="宋体" w:hAnsi="宋体" w:eastAsia="宋体" w:cs="Times New Roman"/>
                <w:b/>
                <w:szCs w:val="24"/>
              </w:rPr>
            </w:pPr>
            <w:r>
              <w:rPr>
                <w:rFonts w:hint="eastAsia" w:ascii="宋体" w:hAnsi="宋体" w:eastAsia="宋体" w:cs="Times New Roman"/>
                <w:b/>
                <w:szCs w:val="24"/>
              </w:rPr>
              <w:t>数量</w:t>
            </w:r>
          </w:p>
        </w:tc>
        <w:tc>
          <w:tcPr>
            <w:tcW w:w="1544" w:type="dxa"/>
            <w:noWrap w:val="0"/>
            <w:vAlign w:val="center"/>
          </w:tcPr>
          <w:p>
            <w:pPr>
              <w:widowControl/>
              <w:jc w:val="center"/>
              <w:rPr>
                <w:rFonts w:hint="default" w:ascii="宋体" w:hAnsi="宋体" w:eastAsia="宋体" w:cs="Times New Roman"/>
                <w:b/>
                <w:szCs w:val="24"/>
                <w:lang w:val="en-US" w:eastAsia="zh-CN"/>
              </w:rPr>
            </w:pPr>
            <w:r>
              <w:rPr>
                <w:rFonts w:hint="eastAsia" w:ascii="宋体" w:hAnsi="宋体" w:eastAsia="宋体" w:cs="Times New Roman"/>
                <w:b/>
                <w:szCs w:val="24"/>
                <w:lang w:val="en-US" w:eastAsia="zh-CN"/>
              </w:rPr>
              <w:t>比选控制价</w:t>
            </w:r>
          </w:p>
        </w:tc>
        <w:tc>
          <w:tcPr>
            <w:tcW w:w="3456" w:type="dxa"/>
            <w:noWrap w:val="0"/>
            <w:vAlign w:val="center"/>
          </w:tcPr>
          <w:p>
            <w:pPr>
              <w:widowControl/>
              <w:jc w:val="center"/>
              <w:rPr>
                <w:rFonts w:hint="default" w:ascii="宋体" w:hAnsi="宋体" w:eastAsia="宋体" w:cs="Times New Roman"/>
                <w:b/>
                <w:szCs w:val="24"/>
                <w:lang w:val="en-US" w:eastAsia="zh-CN"/>
              </w:rPr>
            </w:pPr>
            <w:r>
              <w:rPr>
                <w:rFonts w:hint="eastAsia" w:ascii="宋体" w:hAnsi="宋体" w:eastAsia="宋体" w:cs="Times New Roman"/>
                <w:b/>
                <w:szCs w:val="24"/>
                <w:lang w:val="en-US" w:eastAsia="zh-CN"/>
              </w:rPr>
              <w:t>简要技术参数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61" w:type="dxa"/>
            <w:noWrap w:val="0"/>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1089" w:type="dxa"/>
            <w:noWrap w:val="0"/>
            <w:vAlign w:val="center"/>
          </w:tcPr>
          <w:p>
            <w:pPr>
              <w:widowControl/>
              <w:jc w:val="center"/>
              <w:rPr>
                <w:rFonts w:ascii="宋体" w:hAnsi="宋体" w:eastAsia="宋体" w:cs="Times New Roman"/>
                <w:szCs w:val="24"/>
              </w:rPr>
            </w:pPr>
            <w:r>
              <w:rPr>
                <w:rFonts w:hint="eastAsia" w:ascii="宋体" w:hAnsi="宋体" w:cs="宋体"/>
                <w:sz w:val="24"/>
                <w:szCs w:val="24"/>
              </w:rPr>
              <w:t>双人</w:t>
            </w:r>
            <w:r>
              <w:rPr>
                <w:rFonts w:hint="eastAsia" w:ascii="宋体" w:hAnsi="宋体" w:cs="宋体"/>
                <w:sz w:val="24"/>
                <w:szCs w:val="24"/>
                <w:lang w:val="en-US" w:eastAsia="zh-CN"/>
              </w:rPr>
              <w:t>课桌</w:t>
            </w:r>
          </w:p>
        </w:tc>
        <w:tc>
          <w:tcPr>
            <w:tcW w:w="678" w:type="dxa"/>
            <w:noWrap w:val="0"/>
            <w:vAlign w:val="center"/>
          </w:tcPr>
          <w:p>
            <w:pPr>
              <w:widowControl/>
              <w:spacing w:line="360" w:lineRule="auto"/>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张</w:t>
            </w:r>
          </w:p>
        </w:tc>
        <w:tc>
          <w:tcPr>
            <w:tcW w:w="778" w:type="dxa"/>
            <w:noWrap w:val="0"/>
            <w:vAlign w:val="center"/>
          </w:tcPr>
          <w:p>
            <w:pPr>
              <w:widowControl/>
              <w:spacing w:line="360" w:lineRule="auto"/>
              <w:jc w:val="center"/>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475</w:t>
            </w:r>
          </w:p>
        </w:tc>
        <w:tc>
          <w:tcPr>
            <w:tcW w:w="1544" w:type="dxa"/>
            <w:vMerge w:val="restart"/>
            <w:noWrap w:val="0"/>
            <w:vAlign w:val="center"/>
          </w:tcPr>
          <w:p>
            <w:pPr>
              <w:widowControl/>
              <w:spacing w:line="360" w:lineRule="auto"/>
              <w:jc w:val="center"/>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190000元</w:t>
            </w:r>
          </w:p>
        </w:tc>
        <w:tc>
          <w:tcPr>
            <w:tcW w:w="3456" w:type="dxa"/>
            <w:noWrap w:val="0"/>
            <w:vAlign w:val="center"/>
          </w:tcPr>
          <w:p>
            <w:pPr>
              <w:widowControl/>
              <w:spacing w:line="360" w:lineRule="auto"/>
              <w:jc w:val="left"/>
              <w:rPr>
                <w:rFonts w:hint="eastAsia" w:ascii="宋体" w:hAnsi="宋体" w:eastAsia="宋体" w:cs="Times New Roman"/>
                <w:szCs w:val="24"/>
                <w:lang w:eastAsia="zh-CN"/>
              </w:rPr>
            </w:pPr>
            <w:r>
              <w:rPr>
                <w:rFonts w:hint="eastAsia" w:ascii="宋体" w:hAnsi="宋体" w:eastAsia="宋体" w:cs="Times New Roman"/>
                <w:szCs w:val="24"/>
                <w:lang w:eastAsia="zh-CN"/>
              </w:rPr>
              <w:t>（1）桌长1200㎜×宽600㎜×高800㎜，</w:t>
            </w:r>
          </w:p>
          <w:p>
            <w:pPr>
              <w:widowControl/>
              <w:spacing w:line="360" w:lineRule="auto"/>
              <w:jc w:val="left"/>
              <w:rPr>
                <w:rFonts w:hint="eastAsia" w:ascii="宋体" w:hAnsi="宋体" w:eastAsia="宋体" w:cs="Times New Roman"/>
                <w:szCs w:val="24"/>
                <w:lang w:eastAsia="zh-CN"/>
              </w:rPr>
            </w:pPr>
            <w:r>
              <w:rPr>
                <w:rFonts w:hint="eastAsia" w:ascii="宋体" w:hAnsi="宋体" w:eastAsia="宋体" w:cs="Times New Roman"/>
                <w:szCs w:val="24"/>
                <w:lang w:eastAsia="zh-CN"/>
              </w:rPr>
              <w:t>（2）桌面板采用进口橡木板，板厚18㎜（油漆采用优质环保聚胺脂油漆，工艺要求做到三底三面）</w:t>
            </w:r>
          </w:p>
          <w:p>
            <w:pPr>
              <w:widowControl/>
              <w:spacing w:line="360" w:lineRule="auto"/>
              <w:jc w:val="left"/>
              <w:rPr>
                <w:rFonts w:hint="eastAsia" w:ascii="宋体" w:hAnsi="宋体" w:eastAsia="宋体"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61" w:type="dxa"/>
            <w:noWrap w:val="0"/>
            <w:vAlign w:val="center"/>
          </w:tcPr>
          <w:p>
            <w:pPr>
              <w:jc w:val="center"/>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2</w:t>
            </w:r>
          </w:p>
        </w:tc>
        <w:tc>
          <w:tcPr>
            <w:tcW w:w="1089" w:type="dxa"/>
            <w:noWrap w:val="0"/>
            <w:vAlign w:val="center"/>
          </w:tcPr>
          <w:p>
            <w:pPr>
              <w:widowControl/>
              <w:jc w:val="center"/>
              <w:rPr>
                <w:rFonts w:hint="eastAsia" w:ascii="宋体" w:hAnsi="宋体" w:eastAsia="宋体" w:cs="宋体"/>
                <w:sz w:val="24"/>
                <w:szCs w:val="24"/>
                <w:lang w:eastAsia="zh-CN"/>
              </w:rPr>
            </w:pPr>
            <w:r>
              <w:rPr>
                <w:rFonts w:hint="eastAsia" w:ascii="宋体" w:hAnsi="宋体" w:cs="宋体"/>
                <w:sz w:val="24"/>
                <w:szCs w:val="24"/>
                <w:lang w:val="en-US" w:eastAsia="zh-CN"/>
              </w:rPr>
              <w:t>凳子</w:t>
            </w:r>
          </w:p>
        </w:tc>
        <w:tc>
          <w:tcPr>
            <w:tcW w:w="678" w:type="dxa"/>
            <w:noWrap w:val="0"/>
            <w:vAlign w:val="center"/>
          </w:tcPr>
          <w:p>
            <w:pPr>
              <w:widowControl/>
              <w:spacing w:line="360" w:lineRule="auto"/>
              <w:jc w:val="center"/>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台</w:t>
            </w:r>
          </w:p>
        </w:tc>
        <w:tc>
          <w:tcPr>
            <w:tcW w:w="778" w:type="dxa"/>
            <w:noWrap w:val="0"/>
            <w:vAlign w:val="center"/>
          </w:tcPr>
          <w:p>
            <w:pPr>
              <w:widowControl/>
              <w:spacing w:line="360" w:lineRule="auto"/>
              <w:jc w:val="center"/>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950</w:t>
            </w:r>
          </w:p>
        </w:tc>
        <w:tc>
          <w:tcPr>
            <w:tcW w:w="1544" w:type="dxa"/>
            <w:vMerge w:val="continue"/>
            <w:noWrap w:val="0"/>
            <w:vAlign w:val="center"/>
          </w:tcPr>
          <w:p>
            <w:pPr>
              <w:widowControl/>
              <w:spacing w:line="360" w:lineRule="auto"/>
              <w:jc w:val="center"/>
              <w:rPr>
                <w:rFonts w:hint="eastAsia" w:ascii="宋体" w:hAnsi="宋体" w:eastAsia="宋体" w:cs="Times New Roman"/>
                <w:szCs w:val="24"/>
                <w:lang w:val="en-US" w:eastAsia="zh-CN"/>
              </w:rPr>
            </w:pPr>
          </w:p>
        </w:tc>
        <w:tc>
          <w:tcPr>
            <w:tcW w:w="3456" w:type="dxa"/>
            <w:noWrap w:val="0"/>
            <w:vAlign w:val="center"/>
          </w:tcPr>
          <w:p>
            <w:pPr>
              <w:widowControl/>
              <w:spacing w:line="360" w:lineRule="auto"/>
              <w:jc w:val="left"/>
              <w:rPr>
                <w:rFonts w:hint="eastAsia" w:ascii="宋体" w:hAnsi="宋体" w:eastAsia="宋体" w:cs="Times New Roman"/>
                <w:szCs w:val="24"/>
                <w:lang w:eastAsia="zh-CN"/>
              </w:rPr>
            </w:pPr>
            <w:r>
              <w:rPr>
                <w:rFonts w:hint="eastAsia" w:ascii="宋体" w:hAnsi="宋体" w:eastAsia="宋体" w:cs="Times New Roman"/>
                <w:szCs w:val="24"/>
                <w:lang w:eastAsia="zh-CN"/>
              </w:rPr>
              <w:t>（</w:t>
            </w:r>
            <w:r>
              <w:rPr>
                <w:rFonts w:hint="eastAsia" w:ascii="宋体" w:hAnsi="宋体" w:eastAsia="宋体" w:cs="Times New Roman"/>
                <w:szCs w:val="24"/>
                <w:lang w:val="en-US" w:eastAsia="zh-CN"/>
              </w:rPr>
              <w:t>1</w:t>
            </w:r>
            <w:r>
              <w:rPr>
                <w:rFonts w:hint="eastAsia" w:ascii="宋体" w:hAnsi="宋体" w:eastAsia="宋体" w:cs="Times New Roman"/>
                <w:szCs w:val="24"/>
                <w:lang w:eastAsia="zh-CN"/>
              </w:rPr>
              <w:t>）凳长340㎜×宽240㎜×高440㎜，</w:t>
            </w:r>
          </w:p>
          <w:p>
            <w:pPr>
              <w:widowControl/>
              <w:spacing w:line="360" w:lineRule="auto"/>
              <w:jc w:val="left"/>
              <w:rPr>
                <w:rFonts w:hint="eastAsia" w:ascii="宋体" w:hAnsi="宋体" w:eastAsia="宋体" w:cs="Times New Roman"/>
                <w:szCs w:val="24"/>
                <w:lang w:eastAsia="zh-CN"/>
              </w:rPr>
            </w:pPr>
            <w:r>
              <w:rPr>
                <w:rFonts w:hint="eastAsia" w:ascii="宋体" w:hAnsi="宋体" w:eastAsia="宋体" w:cs="Times New Roman"/>
                <w:szCs w:val="24"/>
                <w:lang w:eastAsia="zh-CN"/>
              </w:rPr>
              <w:t>（</w:t>
            </w:r>
            <w:r>
              <w:rPr>
                <w:rFonts w:hint="eastAsia" w:ascii="宋体" w:hAnsi="宋体" w:eastAsia="宋体" w:cs="Times New Roman"/>
                <w:szCs w:val="24"/>
                <w:lang w:val="en-US" w:eastAsia="zh-CN"/>
              </w:rPr>
              <w:t>2</w:t>
            </w:r>
            <w:r>
              <w:rPr>
                <w:rFonts w:hint="eastAsia" w:ascii="宋体" w:hAnsi="宋体" w:eastAsia="宋体" w:cs="Times New Roman"/>
                <w:szCs w:val="24"/>
                <w:lang w:eastAsia="zh-CN"/>
              </w:rPr>
              <w:t>）凳面板采用进口橡木板，板厚18㎜（油漆采用优质环保聚胺脂油漆，工艺要求做到三底三面）</w:t>
            </w:r>
          </w:p>
        </w:tc>
      </w:tr>
    </w:tbl>
    <w:p>
      <w:pPr>
        <w:pStyle w:val="3"/>
        <w:spacing w:before="240" w:after="120"/>
        <w:rPr>
          <w:color w:val="auto"/>
          <w:szCs w:val="24"/>
        </w:rPr>
      </w:pPr>
      <w:bookmarkStart w:id="3" w:name="_Toc7518"/>
      <w:r>
        <w:rPr>
          <w:color w:val="auto"/>
          <w:szCs w:val="24"/>
        </w:rPr>
        <w:t>3.</w:t>
      </w:r>
      <w:r>
        <w:rPr>
          <w:rFonts w:hint="eastAsia"/>
          <w:color w:val="auto"/>
          <w:szCs w:val="24"/>
        </w:rPr>
        <w:t xml:space="preserve"> 应答人资格要求</w:t>
      </w:r>
      <w:bookmarkEnd w:id="3"/>
    </w:p>
    <w:p>
      <w:pPr>
        <w:spacing w:line="360" w:lineRule="auto"/>
        <w:ind w:left="707" w:leftChars="150" w:hanging="392" w:hangingChars="187"/>
        <w:rPr>
          <w:rFonts w:hint="eastAsia" w:eastAsia="宋体"/>
          <w:color w:val="auto"/>
        </w:rPr>
      </w:pPr>
      <w:bookmarkStart w:id="4" w:name="_Toc3281"/>
      <w:r>
        <w:rPr>
          <w:rFonts w:hint="eastAsia" w:eastAsia="宋体"/>
          <w:color w:val="auto"/>
          <w:lang w:val="en-US" w:eastAsia="zh-CN"/>
        </w:rPr>
        <w:t>3.1</w:t>
      </w:r>
      <w:r>
        <w:rPr>
          <w:rFonts w:hint="eastAsia" w:eastAsia="宋体"/>
          <w:color w:val="auto"/>
        </w:rPr>
        <w:t>具有独立承担民事责任的能力</w:t>
      </w:r>
    </w:p>
    <w:p>
      <w:pPr>
        <w:spacing w:line="360" w:lineRule="auto"/>
        <w:ind w:left="707" w:leftChars="150" w:hanging="392" w:hangingChars="187"/>
        <w:rPr>
          <w:rFonts w:hint="eastAsia" w:eastAsia="宋体"/>
          <w:color w:val="auto"/>
        </w:rPr>
      </w:pPr>
      <w:r>
        <w:rPr>
          <w:rFonts w:hint="eastAsia" w:eastAsia="宋体"/>
          <w:color w:val="auto"/>
          <w:lang w:val="en-US" w:eastAsia="zh-CN"/>
        </w:rPr>
        <w:t>3.2</w:t>
      </w:r>
      <w:r>
        <w:rPr>
          <w:rFonts w:hint="eastAsia" w:eastAsia="宋体"/>
          <w:color w:val="auto"/>
        </w:rPr>
        <w:t xml:space="preserve">具有良好的商业信誉和健全的财务会计制度 </w:t>
      </w:r>
    </w:p>
    <w:p>
      <w:pPr>
        <w:spacing w:line="360" w:lineRule="auto"/>
        <w:ind w:left="707" w:leftChars="150" w:hanging="392" w:hangingChars="187"/>
        <w:rPr>
          <w:rFonts w:hint="eastAsia" w:eastAsia="宋体"/>
          <w:color w:val="auto"/>
        </w:rPr>
      </w:pPr>
      <w:r>
        <w:rPr>
          <w:rFonts w:hint="eastAsia" w:eastAsia="宋体"/>
          <w:color w:val="auto"/>
          <w:lang w:val="en-US" w:eastAsia="zh-CN"/>
        </w:rPr>
        <w:t>3.3</w:t>
      </w:r>
      <w:r>
        <w:rPr>
          <w:rFonts w:hint="eastAsia" w:eastAsia="宋体"/>
          <w:color w:val="auto"/>
        </w:rPr>
        <w:t xml:space="preserve">具有履行合同所必须的设备和专业技术能力 </w:t>
      </w:r>
    </w:p>
    <w:p>
      <w:pPr>
        <w:spacing w:line="360" w:lineRule="auto"/>
        <w:ind w:left="707" w:leftChars="150" w:hanging="392" w:hangingChars="187"/>
        <w:rPr>
          <w:rFonts w:hint="eastAsia" w:eastAsia="宋体"/>
          <w:color w:val="auto"/>
        </w:rPr>
      </w:pPr>
      <w:r>
        <w:rPr>
          <w:rFonts w:hint="eastAsia" w:eastAsia="宋体"/>
          <w:color w:val="auto"/>
          <w:lang w:val="en-US" w:eastAsia="zh-CN"/>
        </w:rPr>
        <w:t>3.4</w:t>
      </w:r>
      <w:r>
        <w:rPr>
          <w:rFonts w:hint="eastAsia" w:eastAsia="宋体"/>
          <w:color w:val="auto"/>
        </w:rPr>
        <w:t>有依法缴纳税收和社会保障资金的良好记录</w:t>
      </w:r>
    </w:p>
    <w:p>
      <w:pPr>
        <w:spacing w:line="360" w:lineRule="auto"/>
        <w:ind w:left="707" w:leftChars="150" w:hanging="392" w:hangingChars="187"/>
        <w:rPr>
          <w:rFonts w:hint="eastAsia"/>
          <w:color w:val="auto"/>
          <w:szCs w:val="24"/>
        </w:rPr>
      </w:pPr>
      <w:r>
        <w:rPr>
          <w:rFonts w:hint="eastAsia" w:eastAsia="宋体"/>
          <w:color w:val="auto"/>
          <w:lang w:val="en-US" w:eastAsia="zh-CN"/>
        </w:rPr>
        <w:t>3.5</w:t>
      </w:r>
      <w:r>
        <w:rPr>
          <w:rFonts w:hint="eastAsia" w:eastAsia="宋体"/>
          <w:color w:val="auto"/>
        </w:rPr>
        <w:t>参加</w:t>
      </w:r>
      <w:r>
        <w:rPr>
          <w:rFonts w:hint="eastAsia" w:eastAsia="宋体"/>
          <w:color w:val="auto"/>
          <w:lang w:val="en-US" w:eastAsia="zh-CN"/>
        </w:rPr>
        <w:t>比选</w:t>
      </w:r>
      <w:bookmarkStart w:id="13" w:name="_GoBack"/>
      <w:bookmarkEnd w:id="13"/>
      <w:r>
        <w:rPr>
          <w:rFonts w:hint="eastAsia" w:eastAsia="宋体"/>
          <w:color w:val="auto"/>
        </w:rPr>
        <w:t>活动前三年内,在经营活动中没有重大违法记</w:t>
      </w:r>
      <w:r>
        <w:rPr>
          <w:rFonts w:hint="eastAsia"/>
          <w:color w:val="auto"/>
          <w:szCs w:val="24"/>
        </w:rPr>
        <w:t>录</w:t>
      </w:r>
    </w:p>
    <w:p>
      <w:pPr>
        <w:pStyle w:val="3"/>
        <w:spacing w:before="240" w:after="120"/>
        <w:rPr>
          <w:rFonts w:ascii="宋体" w:hAnsi="宋体" w:eastAsia="宋体"/>
          <w:color w:val="auto"/>
          <w:szCs w:val="24"/>
        </w:rPr>
      </w:pPr>
      <w:r>
        <w:rPr>
          <w:rFonts w:ascii="宋体" w:hAnsi="宋体" w:eastAsia="宋体"/>
          <w:color w:val="auto"/>
          <w:szCs w:val="24"/>
        </w:rPr>
        <w:t>4.</w:t>
      </w:r>
      <w:r>
        <w:rPr>
          <w:rFonts w:hint="eastAsia" w:ascii="宋体" w:hAnsi="宋体" w:eastAsia="宋体"/>
          <w:color w:val="auto"/>
          <w:szCs w:val="24"/>
        </w:rPr>
        <w:t xml:space="preserve"> 报名方法</w:t>
      </w:r>
      <w:bookmarkEnd w:id="4"/>
    </w:p>
    <w:p>
      <w:pPr>
        <w:spacing w:line="360" w:lineRule="auto"/>
        <w:ind w:left="707" w:leftChars="150" w:hanging="392" w:hangingChars="187"/>
        <w:rPr>
          <w:color w:val="auto"/>
          <w:szCs w:val="21"/>
        </w:rPr>
      </w:pPr>
      <w:r>
        <w:rPr>
          <w:color w:val="auto"/>
          <w:szCs w:val="21"/>
        </w:rPr>
        <w:t xml:space="preserve">4.1 </w:t>
      </w:r>
      <w:r>
        <w:rPr>
          <w:rFonts w:hint="eastAsia"/>
          <w:color w:val="auto"/>
          <w:szCs w:val="21"/>
        </w:rPr>
        <w:t>报名地点：江西省机电设备招标有限公司景德镇分公司（景德镇市瓷都大道东侧金岸名都小区B3栋20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09</w:t>
      </w:r>
      <w:r>
        <w:rPr>
          <w:rFonts w:hint="eastAsia"/>
          <w:color w:val="auto"/>
          <w:szCs w:val="21"/>
        </w:rPr>
        <w:t>月</w:t>
      </w:r>
      <w:r>
        <w:rPr>
          <w:rFonts w:hint="eastAsia"/>
          <w:color w:val="auto"/>
          <w:szCs w:val="21"/>
          <w:lang w:val="en-US" w:eastAsia="zh-CN"/>
        </w:rPr>
        <w:t>17</w:t>
      </w:r>
      <w:r>
        <w:rPr>
          <w:rFonts w:hint="eastAsia"/>
          <w:color w:val="auto"/>
          <w:szCs w:val="21"/>
        </w:rPr>
        <w:t>日～20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09</w:t>
      </w:r>
      <w:r>
        <w:rPr>
          <w:rFonts w:hint="eastAsia"/>
          <w:color w:val="auto"/>
          <w:szCs w:val="21"/>
        </w:rPr>
        <w:t>月</w:t>
      </w:r>
      <w:r>
        <w:rPr>
          <w:rFonts w:hint="eastAsia"/>
          <w:color w:val="auto"/>
          <w:szCs w:val="21"/>
          <w:lang w:val="en-US" w:eastAsia="zh-CN"/>
        </w:rPr>
        <w:t>21</w:t>
      </w:r>
      <w:r>
        <w:rPr>
          <w:rFonts w:hint="eastAsia"/>
          <w:color w:val="auto"/>
          <w:szCs w:val="21"/>
        </w:rPr>
        <w:t>日，每日上午</w:t>
      </w:r>
      <w:r>
        <w:rPr>
          <w:color w:val="auto"/>
          <w:szCs w:val="21"/>
        </w:rPr>
        <w:t>09:00</w:t>
      </w:r>
      <w:r>
        <w:rPr>
          <w:rFonts w:hint="eastAsia"/>
          <w:color w:val="auto"/>
          <w:szCs w:val="21"/>
        </w:rPr>
        <w:t>至</w:t>
      </w:r>
      <w:r>
        <w:rPr>
          <w:color w:val="auto"/>
          <w:szCs w:val="21"/>
        </w:rPr>
        <w:t>11:30</w:t>
      </w:r>
      <w:r>
        <w:rPr>
          <w:rFonts w:hint="eastAsia"/>
          <w:color w:val="auto"/>
          <w:szCs w:val="21"/>
        </w:rPr>
        <w:t>，下午</w:t>
      </w:r>
      <w:r>
        <w:rPr>
          <w:color w:val="auto"/>
          <w:szCs w:val="21"/>
        </w:rPr>
        <w:t>14:00</w:t>
      </w:r>
      <w:r>
        <w:rPr>
          <w:rFonts w:hint="eastAsia"/>
          <w:color w:val="auto"/>
          <w:szCs w:val="21"/>
        </w:rPr>
        <w:t>至17</w:t>
      </w:r>
      <w:r>
        <w:rPr>
          <w:color w:val="auto"/>
          <w:szCs w:val="21"/>
        </w:rPr>
        <w:t>:</w:t>
      </w:r>
      <w:r>
        <w:rPr>
          <w:rFonts w:hint="eastAsia"/>
          <w:color w:val="auto"/>
          <w:szCs w:val="21"/>
        </w:rPr>
        <w:t>3</w:t>
      </w:r>
      <w:r>
        <w:rPr>
          <w:color w:val="auto"/>
          <w:szCs w:val="21"/>
        </w:rPr>
        <w:t>0</w:t>
      </w:r>
      <w:r>
        <w:rPr>
          <w:rFonts w:hint="eastAsia"/>
          <w:color w:val="auto"/>
          <w:szCs w:val="21"/>
        </w:rPr>
        <w:t>（法定公休日、节假日除外，逾期不予受理）。</w:t>
      </w:r>
    </w:p>
    <w:p>
      <w:pPr>
        <w:spacing w:line="360" w:lineRule="auto"/>
        <w:ind w:left="707" w:leftChars="150" w:hanging="392" w:hangingChars="187"/>
        <w:rPr>
          <w:color w:val="auto"/>
          <w:szCs w:val="21"/>
        </w:rPr>
      </w:pPr>
      <w:r>
        <w:rPr>
          <w:color w:val="auto"/>
          <w:szCs w:val="21"/>
        </w:rPr>
        <w:t xml:space="preserve">4.3 </w:t>
      </w:r>
      <w:r>
        <w:rPr>
          <w:rFonts w:hint="eastAsia"/>
          <w:color w:val="auto"/>
          <w:szCs w:val="21"/>
        </w:rPr>
        <w:t>应答人在报名时须提交以下材料原件：</w:t>
      </w:r>
    </w:p>
    <w:p>
      <w:pPr>
        <w:spacing w:line="360" w:lineRule="auto"/>
        <w:ind w:left="707" w:leftChars="150" w:hanging="392" w:hangingChars="187"/>
        <w:rPr>
          <w:color w:val="auto"/>
          <w:szCs w:val="21"/>
        </w:rPr>
      </w:pPr>
      <w:r>
        <w:rPr>
          <w:rFonts w:hint="eastAsia"/>
          <w:color w:val="auto"/>
          <w:szCs w:val="21"/>
        </w:rPr>
        <w:t>1）营业执照复印件加盖应答人公章；</w:t>
      </w:r>
    </w:p>
    <w:p>
      <w:pPr>
        <w:spacing w:line="360" w:lineRule="auto"/>
        <w:ind w:left="707" w:leftChars="150" w:hanging="392" w:hangingChars="187"/>
        <w:rPr>
          <w:color w:val="auto"/>
          <w:szCs w:val="21"/>
        </w:rPr>
      </w:pPr>
      <w:r>
        <w:rPr>
          <w:rFonts w:hint="eastAsia"/>
          <w:color w:val="auto"/>
          <w:szCs w:val="21"/>
        </w:rPr>
        <w:t>2）法人代表授权书原件、法人身份证复印件加盖公章和被授权委托人身份证复印件加盖应答人公章。</w:t>
      </w:r>
    </w:p>
    <w:p>
      <w:pPr>
        <w:pStyle w:val="3"/>
        <w:spacing w:before="240" w:after="120"/>
        <w:rPr>
          <w:color w:val="auto"/>
          <w:szCs w:val="24"/>
        </w:rPr>
      </w:pPr>
      <w:bookmarkStart w:id="5" w:name="_Toc394557803"/>
      <w:bookmarkStart w:id="6" w:name="_Toc31720"/>
      <w:r>
        <w:rPr>
          <w:color w:val="auto"/>
          <w:szCs w:val="24"/>
        </w:rPr>
        <w:t xml:space="preserve">5. </w:t>
      </w:r>
      <w:r>
        <w:rPr>
          <w:rFonts w:hint="eastAsia"/>
          <w:color w:val="auto"/>
          <w:szCs w:val="24"/>
        </w:rPr>
        <w:t>递交应答文件地点及比选时间</w:t>
      </w:r>
      <w:bookmarkEnd w:id="5"/>
      <w:bookmarkEnd w:id="6"/>
    </w:p>
    <w:p>
      <w:pPr>
        <w:spacing w:line="360" w:lineRule="auto"/>
        <w:ind w:left="707" w:leftChars="150" w:hanging="392" w:hangingChars="187"/>
        <w:rPr>
          <w:color w:val="auto"/>
          <w:szCs w:val="21"/>
        </w:rPr>
      </w:pPr>
      <w:r>
        <w:rPr>
          <w:color w:val="auto"/>
          <w:szCs w:val="21"/>
        </w:rPr>
        <w:t xml:space="preserve">5.1 </w:t>
      </w:r>
      <w:r>
        <w:rPr>
          <w:rFonts w:hint="eastAsia"/>
          <w:color w:val="auto"/>
          <w:szCs w:val="21"/>
        </w:rPr>
        <w:t>比选时间及应答文件</w:t>
      </w:r>
      <w:r>
        <w:rPr>
          <w:color w:val="auto"/>
          <w:szCs w:val="21"/>
        </w:rPr>
        <w:t>递交截止时间</w:t>
      </w:r>
      <w:r>
        <w:rPr>
          <w:rFonts w:hint="eastAsia"/>
          <w:color w:val="auto"/>
          <w:szCs w:val="21"/>
        </w:rPr>
        <w:t>：20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09</w:t>
      </w:r>
      <w:r>
        <w:rPr>
          <w:rFonts w:hint="eastAsia"/>
          <w:color w:val="auto"/>
          <w:szCs w:val="21"/>
        </w:rPr>
        <w:t>月</w:t>
      </w:r>
      <w:r>
        <w:rPr>
          <w:rFonts w:hint="eastAsia"/>
          <w:color w:val="auto"/>
          <w:szCs w:val="21"/>
          <w:lang w:val="en-US" w:eastAsia="zh-CN"/>
        </w:rPr>
        <w:t>24</w:t>
      </w:r>
      <w:r>
        <w:rPr>
          <w:rFonts w:hint="eastAsia"/>
          <w:color w:val="auto"/>
          <w:szCs w:val="21"/>
        </w:rPr>
        <w:t>日 14时30分（北京时间）</w:t>
      </w:r>
      <w:r>
        <w:rPr>
          <w:color w:val="auto"/>
          <w:szCs w:val="21"/>
        </w:rPr>
        <w:t>，届时请各供应商提前前往比选现场，逾期不予受理。</w:t>
      </w:r>
    </w:p>
    <w:p>
      <w:pPr>
        <w:spacing w:line="360" w:lineRule="auto"/>
        <w:ind w:left="707" w:leftChars="150" w:hanging="392" w:hangingChars="187"/>
        <w:rPr>
          <w:color w:val="auto"/>
          <w:szCs w:val="21"/>
        </w:rPr>
      </w:pPr>
      <w:r>
        <w:rPr>
          <w:color w:val="auto"/>
          <w:szCs w:val="21"/>
        </w:rPr>
        <w:t xml:space="preserve">5.2 </w:t>
      </w:r>
      <w:r>
        <w:rPr>
          <w:rFonts w:hint="eastAsia"/>
          <w:color w:val="auto"/>
          <w:szCs w:val="21"/>
        </w:rPr>
        <w:t>递交应答文件及比选地点：</w:t>
      </w:r>
      <w:r>
        <w:rPr>
          <w:rFonts w:hint="eastAsia"/>
          <w:szCs w:val="21"/>
        </w:rPr>
        <w:t>江西陶瓷工艺美术职业技术学院</w:t>
      </w:r>
      <w:r>
        <w:rPr>
          <w:rFonts w:hint="eastAsia"/>
          <w:szCs w:val="21"/>
          <w:lang w:val="en-US" w:eastAsia="zh-CN"/>
        </w:rPr>
        <w:t>新校区会议室211</w:t>
      </w:r>
      <w:r>
        <w:rPr>
          <w:rFonts w:hint="eastAsia"/>
          <w:color w:val="auto"/>
          <w:szCs w:val="21"/>
        </w:rPr>
        <w:t>。</w:t>
      </w:r>
    </w:p>
    <w:p>
      <w:pPr>
        <w:pStyle w:val="3"/>
        <w:spacing w:before="240" w:after="120"/>
        <w:rPr>
          <w:color w:val="auto"/>
          <w:szCs w:val="24"/>
        </w:rPr>
      </w:pPr>
      <w:bookmarkStart w:id="7" w:name="_Toc394557804"/>
      <w:bookmarkStart w:id="8" w:name="_Toc22594"/>
      <w:r>
        <w:rPr>
          <w:color w:val="auto"/>
          <w:szCs w:val="24"/>
        </w:rPr>
        <w:t xml:space="preserve">6. </w:t>
      </w:r>
      <w:r>
        <w:rPr>
          <w:rFonts w:hint="eastAsia"/>
          <w:color w:val="auto"/>
          <w:szCs w:val="24"/>
        </w:rPr>
        <w:t>公告发布媒体</w:t>
      </w:r>
      <w:bookmarkEnd w:id="7"/>
      <w:bookmarkEnd w:id="8"/>
    </w:p>
    <w:p>
      <w:pPr>
        <w:wordWrap w:val="0"/>
        <w:spacing w:line="360" w:lineRule="auto"/>
        <w:ind w:firstLine="283" w:firstLineChars="135"/>
        <w:rPr>
          <w:b/>
          <w:bCs/>
          <w:color w:val="auto"/>
        </w:rPr>
      </w:pPr>
      <w:r>
        <w:rPr>
          <w:rFonts w:hint="eastAsia"/>
          <w:color w:val="auto"/>
        </w:rPr>
        <w:t>本公告在江西陶瓷工艺美术职业技术学院官网（</w:t>
      </w:r>
      <w:r>
        <w:rPr>
          <w:color w:val="auto"/>
        </w:rPr>
        <w:t>http://www.jxgymy.com/</w:t>
      </w:r>
      <w:r>
        <w:rPr>
          <w:rFonts w:hint="eastAsia"/>
          <w:color w:val="auto"/>
        </w:rPr>
        <w:t>）、中国采购与招标网（http://www.chinabidding.com.cn）发布。</w:t>
      </w:r>
    </w:p>
    <w:p>
      <w:pPr>
        <w:pStyle w:val="3"/>
        <w:spacing w:before="240" w:after="120"/>
        <w:rPr>
          <w:color w:val="auto"/>
          <w:szCs w:val="24"/>
        </w:rPr>
      </w:pPr>
      <w:bookmarkStart w:id="9" w:name="_Toc24705"/>
      <w:bookmarkStart w:id="10" w:name="_Toc394557805"/>
      <w:r>
        <w:rPr>
          <w:color w:val="auto"/>
          <w:szCs w:val="24"/>
        </w:rPr>
        <w:t xml:space="preserve">7. </w:t>
      </w:r>
      <w:r>
        <w:rPr>
          <w:rFonts w:hint="eastAsia"/>
          <w:color w:val="auto"/>
          <w:szCs w:val="24"/>
        </w:rPr>
        <w:t>比选文件售价</w:t>
      </w:r>
      <w:bookmarkEnd w:id="9"/>
      <w:bookmarkEnd w:id="10"/>
    </w:p>
    <w:p>
      <w:pPr>
        <w:spacing w:line="360" w:lineRule="auto"/>
        <w:ind w:firstLine="283" w:firstLineChars="135"/>
        <w:rPr>
          <w:rFonts w:ascii="宋体" w:hAnsi="宋体"/>
          <w:b/>
          <w:color w:val="auto"/>
        </w:rPr>
      </w:pPr>
      <w:r>
        <w:rPr>
          <w:rFonts w:hint="eastAsia" w:ascii="宋体" w:hAnsi="宋体"/>
          <w:color w:val="auto"/>
        </w:rPr>
        <w:t>比选文件售价为：人民币</w:t>
      </w:r>
      <w:r>
        <w:rPr>
          <w:rFonts w:hint="eastAsia" w:ascii="宋体" w:hAnsi="宋体"/>
          <w:color w:val="auto"/>
          <w:u w:val="single"/>
          <w:lang w:val="en-US" w:eastAsia="zh-CN"/>
        </w:rPr>
        <w:t>2</w:t>
      </w:r>
      <w:r>
        <w:rPr>
          <w:rFonts w:ascii="宋体" w:hAnsi="宋体"/>
          <w:color w:val="auto"/>
          <w:u w:val="single"/>
        </w:rPr>
        <w:t>00</w:t>
      </w:r>
      <w:r>
        <w:rPr>
          <w:rFonts w:hint="eastAsia" w:ascii="宋体" w:hAnsi="宋体"/>
          <w:color w:val="auto"/>
        </w:rPr>
        <w:t>元/份。比选文件售后不退。</w:t>
      </w:r>
    </w:p>
    <w:p>
      <w:pPr>
        <w:pStyle w:val="3"/>
        <w:spacing w:before="240" w:after="120"/>
        <w:rPr>
          <w:color w:val="auto"/>
          <w:szCs w:val="24"/>
        </w:rPr>
      </w:pPr>
      <w:bookmarkStart w:id="11" w:name="_Toc394557806"/>
      <w:bookmarkStart w:id="12" w:name="_Toc24909"/>
      <w:r>
        <w:rPr>
          <w:color w:val="auto"/>
          <w:szCs w:val="24"/>
        </w:rPr>
        <w:t xml:space="preserve">8. </w:t>
      </w:r>
      <w:r>
        <w:rPr>
          <w:rFonts w:hint="eastAsia"/>
          <w:color w:val="auto"/>
          <w:szCs w:val="24"/>
        </w:rPr>
        <w:t>联系方式</w:t>
      </w:r>
      <w:bookmarkEnd w:id="11"/>
      <w:bookmarkEnd w:id="12"/>
    </w:p>
    <w:p>
      <w:pPr>
        <w:spacing w:line="360" w:lineRule="auto"/>
        <w:ind w:firstLine="315" w:firstLineChars="150"/>
        <w:rPr>
          <w:color w:val="auto"/>
          <w:szCs w:val="21"/>
        </w:rPr>
      </w:pPr>
      <w:r>
        <w:rPr>
          <w:color w:val="auto"/>
          <w:szCs w:val="21"/>
        </w:rPr>
        <w:t xml:space="preserve">8.1 </w:t>
      </w:r>
      <w:r>
        <w:rPr>
          <w:rFonts w:hint="eastAsia"/>
          <w:color w:val="auto"/>
          <w:szCs w:val="21"/>
        </w:rPr>
        <w:t>比选人：</w:t>
      </w:r>
      <w:r>
        <w:rPr>
          <w:rFonts w:hint="eastAsia"/>
          <w:color w:val="auto"/>
          <w:szCs w:val="21"/>
          <w:u w:val="single"/>
        </w:rPr>
        <w:t>江西陶瓷工艺美术职业技术学院</w:t>
      </w:r>
    </w:p>
    <w:p>
      <w:pPr>
        <w:spacing w:line="360" w:lineRule="auto"/>
        <w:ind w:firstLine="315" w:firstLineChars="150"/>
        <w:rPr>
          <w:color w:val="auto"/>
          <w:szCs w:val="21"/>
        </w:rPr>
      </w:pPr>
      <w:r>
        <w:rPr>
          <w:color w:val="auto"/>
          <w:szCs w:val="21"/>
        </w:rPr>
        <w:t xml:space="preserve">8.2 </w:t>
      </w:r>
      <w:r>
        <w:rPr>
          <w:rFonts w:hint="eastAsia"/>
          <w:color w:val="auto"/>
          <w:szCs w:val="21"/>
        </w:rPr>
        <w:t>联系人及电话：叶先生</w:t>
      </w:r>
      <w:r>
        <w:rPr>
          <w:color w:val="auto"/>
          <w:szCs w:val="21"/>
        </w:rPr>
        <w:t xml:space="preserve">0798-8444090      </w:t>
      </w:r>
      <w:r>
        <w:rPr>
          <w:rFonts w:hint="eastAsia"/>
          <w:color w:val="auto"/>
          <w:szCs w:val="21"/>
        </w:rPr>
        <w:t>（工作时间</w:t>
      </w:r>
      <w:r>
        <w:rPr>
          <w:color w:val="auto"/>
          <w:szCs w:val="21"/>
        </w:rPr>
        <w:t>09</w:t>
      </w:r>
      <w:r>
        <w:rPr>
          <w:rFonts w:hint="eastAsia"/>
          <w:color w:val="auto"/>
          <w:szCs w:val="21"/>
        </w:rPr>
        <w:t>～12时，14</w:t>
      </w:r>
      <w:r>
        <w:rPr>
          <w:color w:val="auto"/>
          <w:szCs w:val="21"/>
        </w:rPr>
        <w:t>~17</w:t>
      </w:r>
      <w:r>
        <w:rPr>
          <w:rFonts w:hint="eastAsia"/>
          <w:color w:val="auto"/>
          <w:szCs w:val="21"/>
        </w:rPr>
        <w:t>：30时）</w:t>
      </w:r>
    </w:p>
    <w:p>
      <w:pPr>
        <w:spacing w:line="360" w:lineRule="auto"/>
        <w:ind w:firstLine="315" w:firstLineChars="150"/>
        <w:rPr>
          <w:color w:val="auto"/>
          <w:szCs w:val="21"/>
        </w:rPr>
      </w:pPr>
      <w:r>
        <w:rPr>
          <w:color w:val="auto"/>
          <w:szCs w:val="21"/>
        </w:rPr>
        <w:t xml:space="preserve">8.3 </w:t>
      </w:r>
      <w:r>
        <w:rPr>
          <w:rFonts w:hint="eastAsia"/>
          <w:color w:val="auto"/>
          <w:szCs w:val="21"/>
        </w:rPr>
        <w:t>比选代理机构：江西省机电</w:t>
      </w:r>
      <w:r>
        <w:rPr>
          <w:color w:val="auto"/>
          <w:szCs w:val="21"/>
        </w:rPr>
        <w:t>设备招标</w:t>
      </w:r>
      <w:r>
        <w:rPr>
          <w:rFonts w:hint="eastAsia"/>
          <w:color w:val="auto"/>
          <w:szCs w:val="21"/>
        </w:rPr>
        <w:t>有限公司</w:t>
      </w:r>
    </w:p>
    <w:p>
      <w:pPr>
        <w:spacing w:line="360" w:lineRule="auto"/>
        <w:ind w:firstLine="315" w:firstLineChars="150"/>
        <w:rPr>
          <w:color w:val="auto"/>
        </w:rPr>
      </w:pPr>
      <w:r>
        <w:rPr>
          <w:color w:val="auto"/>
          <w:szCs w:val="21"/>
        </w:rPr>
        <w:t xml:space="preserve">8.4 </w:t>
      </w:r>
      <w:r>
        <w:rPr>
          <w:rFonts w:hint="eastAsia"/>
          <w:color w:val="auto"/>
          <w:szCs w:val="21"/>
        </w:rPr>
        <w:t>联系人及电话：</w:t>
      </w:r>
      <w:r>
        <w:rPr>
          <w:rFonts w:hint="eastAsia" w:hAnsi="宋体"/>
          <w:bCs/>
          <w:color w:val="auto"/>
          <w:szCs w:val="21"/>
        </w:rPr>
        <w:t>占女士</w:t>
      </w:r>
      <w:r>
        <w:rPr>
          <w:rFonts w:hint="eastAsia" w:hAnsi="宋体"/>
          <w:bCs/>
          <w:color w:val="auto"/>
          <w:szCs w:val="21"/>
          <w:lang w:eastAsia="zh-CN"/>
        </w:rPr>
        <w:t>、</w:t>
      </w:r>
      <w:r>
        <w:rPr>
          <w:rFonts w:hint="eastAsia" w:hAnsi="宋体"/>
          <w:bCs/>
          <w:color w:val="auto"/>
          <w:szCs w:val="21"/>
          <w:lang w:val="en-US" w:eastAsia="zh-CN"/>
        </w:rPr>
        <w:t>徐先生</w:t>
      </w:r>
      <w:r>
        <w:rPr>
          <w:rFonts w:hint="eastAsia"/>
          <w:color w:val="auto"/>
          <w:szCs w:val="21"/>
        </w:rPr>
        <w:t xml:space="preserve"> 0798-8593153/</w:t>
      </w:r>
      <w:r>
        <w:rPr>
          <w:rFonts w:hint="eastAsia"/>
          <w:color w:val="auto"/>
          <w:szCs w:val="21"/>
          <w:lang w:val="en-US" w:eastAsia="zh-CN"/>
        </w:rPr>
        <w:t>17307981515</w:t>
      </w:r>
      <w:r>
        <w:rPr>
          <w:rFonts w:hint="eastAsia"/>
          <w:color w:val="auto"/>
          <w:szCs w:val="21"/>
        </w:rPr>
        <w:t>（工作时间</w:t>
      </w:r>
      <w:r>
        <w:rPr>
          <w:color w:val="auto"/>
          <w:szCs w:val="21"/>
        </w:rPr>
        <w:t>09</w:t>
      </w:r>
      <w:r>
        <w:rPr>
          <w:rFonts w:hint="eastAsia"/>
          <w:color w:val="auto"/>
          <w:szCs w:val="21"/>
        </w:rPr>
        <w:t>时</w:t>
      </w:r>
      <w:r>
        <w:rPr>
          <w:color w:val="auto"/>
          <w:szCs w:val="21"/>
        </w:rPr>
        <w:t>~17</w:t>
      </w:r>
      <w:r>
        <w:rPr>
          <w:rFonts w:hint="eastAsia"/>
          <w:color w:val="auto"/>
          <w:szCs w:val="21"/>
        </w:rPr>
        <w:t>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622423" w:sz="24" w:space="1"/>
      </w:pBdr>
      <w:jc w:val="right"/>
    </w:pPr>
    <w:r>
      <w:pict>
        <v:shape id="PowerPlusWaterMarkObject38955136" o:spid="_x0000_s4097" o:spt="136" type="#_x0000_t136" style="position:absolute;left:0pt;margin-left:-118.75pt;margin-top:282.9pt;height:48pt;width:624pt;mso-position-horizontal-relative:margin;mso-position-vertical-relative:margin;rotation:20643840f;z-index:-251658240;mso-width-relative:page;mso-height-relative:page;" fillcolor="#DDD8C2" filled="t" stroked="f" coordsize="21600,21600" o:allowincell="f">
          <v:path/>
          <v:fill on="t" opacity="32768f" focussize="0,0"/>
          <v:stroke on="f"/>
          <v:imagedata o:title=""/>
          <o:lock v:ext="edit"/>
          <v:textpath on="t" fitshape="t" fitpath="t" trim="f" xscale="f" string="江西省机电设备招标有限公司" style="font-family:宋体;font-size:48pt;v-same-letter-heights:f;v-text-align:center;"/>
        </v:shape>
      </w:pict>
    </w:r>
    <w:r>
      <w:rPr>
        <w:b/>
        <w:sz w:val="72"/>
        <w:szCs w:val="72"/>
      </w:rPr>
      <w:drawing>
        <wp:inline distT="0" distB="0" distL="114300" distR="114300">
          <wp:extent cx="171450" cy="161925"/>
          <wp:effectExtent l="0" t="0" r="0" b="9525"/>
          <wp:docPr id="1" name="图片 1"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B03V001`T(6~_3X7LL@R"/>
                  <pic:cNvPicPr>
                    <a:picLocks noChangeAspect="1"/>
                  </pic:cNvPicPr>
                </pic:nvPicPr>
                <pic:blipFill>
                  <a:blip r:embed="rId1"/>
                  <a:stretch>
                    <a:fillRect/>
                  </a:stretch>
                </pic:blipFill>
                <pic:spPr>
                  <a:xfrm>
                    <a:off x="0" y="0"/>
                    <a:ext cx="171450" cy="161925"/>
                  </a:xfrm>
                  <a:prstGeom prst="rect">
                    <a:avLst/>
                  </a:prstGeom>
                  <a:noFill/>
                  <a:ln>
                    <a:noFill/>
                  </a:ln>
                </pic:spPr>
              </pic:pic>
            </a:graphicData>
          </a:graphic>
        </wp:inline>
      </w:drawing>
    </w:r>
    <w:r>
      <w:rPr>
        <w:rFonts w:hint="eastAsia" w:ascii="方正行楷简体" w:hAnsi="Cambria" w:eastAsia="方正行楷简体"/>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04B4"/>
    <w:rsid w:val="000451D4"/>
    <w:rsid w:val="000F5F94"/>
    <w:rsid w:val="003A4610"/>
    <w:rsid w:val="004E022E"/>
    <w:rsid w:val="00757D61"/>
    <w:rsid w:val="007A5966"/>
    <w:rsid w:val="0082047A"/>
    <w:rsid w:val="00D45905"/>
    <w:rsid w:val="00DF12A1"/>
    <w:rsid w:val="00E34170"/>
    <w:rsid w:val="00E704B4"/>
    <w:rsid w:val="049C4D67"/>
    <w:rsid w:val="1A0B0E9F"/>
    <w:rsid w:val="1C8130B4"/>
    <w:rsid w:val="27C8745A"/>
    <w:rsid w:val="34FF1D98"/>
    <w:rsid w:val="39F36F5A"/>
    <w:rsid w:val="3A873992"/>
    <w:rsid w:val="3D566CC8"/>
    <w:rsid w:val="47F75D73"/>
    <w:rsid w:val="5049182E"/>
    <w:rsid w:val="50FA70CF"/>
    <w:rsid w:val="522956ED"/>
    <w:rsid w:val="55A9291B"/>
    <w:rsid w:val="63E362D3"/>
    <w:rsid w:val="668672CB"/>
    <w:rsid w:val="675B7BC8"/>
    <w:rsid w:val="6BDA1714"/>
    <w:rsid w:val="76B5668D"/>
    <w:rsid w:val="7AF16502"/>
    <w:rsid w:val="7D076767"/>
    <w:rsid w:val="7DDD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0"/>
      <w:lang w:val="en-US" w:eastAsia="zh-CN" w:bidi="ar-SA"/>
    </w:rPr>
  </w:style>
  <w:style w:type="paragraph" w:styleId="3">
    <w:name w:val="heading 2"/>
    <w:basedOn w:val="1"/>
    <w:next w:val="4"/>
    <w:link w:val="23"/>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style>
  <w:style w:type="paragraph" w:styleId="4">
    <w:name w:val="Normal Indent"/>
    <w:basedOn w:val="1"/>
    <w:semiHidden/>
    <w:unhideWhenUsed/>
    <w:qFormat/>
    <w:uiPriority w:val="99"/>
    <w:pPr>
      <w:ind w:firstLine="420" w:firstLineChars="200"/>
    </w:pPr>
  </w:style>
  <w:style w:type="paragraph" w:styleId="5">
    <w:name w:val="footer"/>
    <w:basedOn w:val="1"/>
    <w:link w:val="25"/>
    <w:unhideWhenUsed/>
    <w:qFormat/>
    <w:uiPriority w:val="99"/>
    <w:pPr>
      <w:tabs>
        <w:tab w:val="center" w:pos="4153"/>
        <w:tab w:val="right" w:pos="8306"/>
      </w:tabs>
      <w:snapToGrid w:val="0"/>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style>
  <w:style w:type="character" w:styleId="12">
    <w:name w:val="FollowedHyperlink"/>
    <w:basedOn w:val="10"/>
    <w:semiHidden/>
    <w:unhideWhenUsed/>
    <w:qFormat/>
    <w:uiPriority w:val="99"/>
    <w:rPr>
      <w:color w:val="800080"/>
      <w:u w:val="none"/>
    </w:rPr>
  </w:style>
  <w:style w:type="character" w:styleId="13">
    <w:name w:val="Emphasis"/>
    <w:basedOn w:val="10"/>
    <w:qFormat/>
    <w:uiPriority w:val="20"/>
  </w:style>
  <w:style w:type="character" w:styleId="14">
    <w:name w:val="HTML Definition"/>
    <w:basedOn w:val="10"/>
    <w:semiHidden/>
    <w:unhideWhenUsed/>
    <w:qFormat/>
    <w:uiPriority w:val="99"/>
  </w:style>
  <w:style w:type="character" w:styleId="15">
    <w:name w:val="HTML Typewriter"/>
    <w:basedOn w:val="10"/>
    <w:semiHidden/>
    <w:unhideWhenUsed/>
    <w:qFormat/>
    <w:uiPriority w:val="99"/>
    <w:rPr>
      <w:rFonts w:hint="default" w:ascii="monospace" w:hAnsi="monospace" w:eastAsia="monospace" w:cs="monospace"/>
      <w:sz w:val="20"/>
    </w:rPr>
  </w:style>
  <w:style w:type="character" w:styleId="16">
    <w:name w:val="HTML Acronym"/>
    <w:basedOn w:val="10"/>
    <w:semiHidden/>
    <w:unhideWhenUsed/>
    <w:qFormat/>
    <w:uiPriority w:val="99"/>
  </w:style>
  <w:style w:type="character" w:styleId="17">
    <w:name w:val="HTML Variable"/>
    <w:basedOn w:val="10"/>
    <w:semiHidden/>
    <w:unhideWhenUsed/>
    <w:qFormat/>
    <w:uiPriority w:val="99"/>
  </w:style>
  <w:style w:type="character" w:styleId="18">
    <w:name w:val="Hyperlink"/>
    <w:basedOn w:val="10"/>
    <w:semiHidden/>
    <w:unhideWhenUsed/>
    <w:qFormat/>
    <w:uiPriority w:val="99"/>
    <w:rPr>
      <w:color w:val="0000FF"/>
      <w:u w:val="none"/>
    </w:rPr>
  </w:style>
  <w:style w:type="character" w:styleId="19">
    <w:name w:val="HTML Code"/>
    <w:basedOn w:val="10"/>
    <w:semiHidden/>
    <w:unhideWhenUsed/>
    <w:qFormat/>
    <w:uiPriority w:val="99"/>
    <w:rPr>
      <w:rFonts w:ascii="monospace" w:hAnsi="monospace" w:eastAsia="monospace" w:cs="monospace"/>
      <w:sz w:val="20"/>
    </w:rPr>
  </w:style>
  <w:style w:type="character" w:styleId="20">
    <w:name w:val="HTML Cite"/>
    <w:basedOn w:val="10"/>
    <w:semiHidden/>
    <w:unhideWhenUsed/>
    <w:qFormat/>
    <w:uiPriority w:val="99"/>
  </w:style>
  <w:style w:type="character" w:styleId="21">
    <w:name w:val="HTML Keyboard"/>
    <w:basedOn w:val="10"/>
    <w:semiHidden/>
    <w:unhideWhenUsed/>
    <w:qFormat/>
    <w:uiPriority w:val="99"/>
    <w:rPr>
      <w:rFonts w:hint="default" w:ascii="monospace" w:hAnsi="monospace" w:eastAsia="monospace" w:cs="monospace"/>
      <w:sz w:val="20"/>
    </w:rPr>
  </w:style>
  <w:style w:type="character" w:styleId="22">
    <w:name w:val="HTML Sample"/>
    <w:basedOn w:val="10"/>
    <w:semiHidden/>
    <w:unhideWhenUsed/>
    <w:qFormat/>
    <w:uiPriority w:val="99"/>
    <w:rPr>
      <w:rFonts w:hint="default" w:ascii="monospace" w:hAnsi="monospace" w:eastAsia="monospace" w:cs="monospace"/>
    </w:rPr>
  </w:style>
  <w:style w:type="character" w:customStyle="1" w:styleId="23">
    <w:name w:val="标题 2 Char"/>
    <w:basedOn w:val="10"/>
    <w:link w:val="3"/>
    <w:qFormat/>
    <w:uiPriority w:val="0"/>
    <w:rPr>
      <w:rFonts w:ascii="宋体" w:hAnsi="宋体" w:eastAsia="宋体" w:cs="Times New Roman"/>
      <w:b/>
      <w:bCs/>
      <w:sz w:val="28"/>
      <w:szCs w:val="28"/>
    </w:rPr>
  </w:style>
  <w:style w:type="character" w:customStyle="1" w:styleId="24">
    <w:name w:val="页眉 Char"/>
    <w:basedOn w:val="10"/>
    <w:link w:val="6"/>
    <w:qFormat/>
    <w:uiPriority w:val="99"/>
    <w:rPr>
      <w:rFonts w:ascii="Times New Roman" w:hAnsi="Times New Roman" w:eastAsia="宋体" w:cs="Times New Roman"/>
      <w:sz w:val="18"/>
      <w:szCs w:val="18"/>
    </w:rPr>
  </w:style>
  <w:style w:type="character" w:customStyle="1" w:styleId="25">
    <w:name w:val="页脚 Char"/>
    <w:basedOn w:val="10"/>
    <w:link w:val="5"/>
    <w:qFormat/>
    <w:uiPriority w:val="99"/>
    <w:rPr>
      <w:rFonts w:ascii="Times New Roman" w:hAnsi="Times New Roman" w:eastAsia="宋体" w:cs="Times New Roman"/>
      <w:sz w:val="18"/>
      <w:szCs w:val="18"/>
    </w:rPr>
  </w:style>
  <w:style w:type="character" w:customStyle="1" w:styleId="26">
    <w:name w:val="layui-layer-tabnow"/>
    <w:basedOn w:val="10"/>
    <w:qFormat/>
    <w:uiPriority w:val="0"/>
    <w:rPr>
      <w:bdr w:val="single" w:color="CCCCCC" w:sz="6" w:space="0"/>
      <w:shd w:val="clear" w:fill="FFFFFF"/>
    </w:rPr>
  </w:style>
  <w:style w:type="character" w:customStyle="1" w:styleId="27">
    <w:name w:val="first-child"/>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B903-BF66-4E3A-868D-B852CD3DEE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708</Characters>
  <Lines>39</Lines>
  <Paragraphs>53</Paragraphs>
  <TotalTime>1</TotalTime>
  <ScaleCrop>false</ScaleCrop>
  <LinksUpToDate>false</LinksUpToDate>
  <CharactersWithSpaces>1239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2019-08-22T23:23:00Z</dcterms:created>
  <dc:creator>fanvi</dc:creator>
  <cp:lastModifiedBy>NTKO</cp:lastModifiedBy>
  <dcterms:modified xsi:type="dcterms:W3CDTF">2020-09-17T08:37:50Z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