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cs="Times New Roman" w:asciiTheme="majorEastAsia" w:hAnsiTheme="majorEastAsia" w:eastAsiaTheme="majorEastAsia"/>
          <w:b/>
          <w:bCs/>
          <w:color w:val="auto"/>
          <w:sz w:val="32"/>
          <w:szCs w:val="32"/>
        </w:rPr>
      </w:pPr>
      <w:bookmarkStart w:id="0" w:name="OLE_LINK1"/>
      <w:bookmarkStart w:id="1" w:name="OLE_LINK5"/>
      <w:bookmarkStart w:id="2" w:name="OLE_LINK4"/>
      <w:r>
        <w:rPr>
          <w:rFonts w:cs="Times New Roman" w:asciiTheme="majorEastAsia" w:hAnsiTheme="majorEastAsia" w:eastAsiaTheme="majorEastAsia"/>
          <w:b/>
          <w:bCs/>
          <w:color w:val="auto"/>
          <w:sz w:val="32"/>
          <w:szCs w:val="32"/>
        </w:rPr>
        <w:t>江西省机电设备招标有限公司</w:t>
      </w:r>
      <w:r>
        <w:rPr>
          <w:rFonts w:hint="eastAsia" w:cs="Times New Roman" w:asciiTheme="majorEastAsia" w:hAnsiTheme="majorEastAsia" w:eastAsiaTheme="majorEastAsia"/>
          <w:b/>
          <w:bCs/>
          <w:color w:val="auto"/>
          <w:sz w:val="32"/>
          <w:szCs w:val="32"/>
        </w:rPr>
        <w:t>关于江西陶瓷工艺美术职业技术学院材料与工程学院综合楼AB栋通道改造工程（项目</w:t>
      </w:r>
      <w:r>
        <w:rPr>
          <w:rFonts w:cs="Times New Roman" w:asciiTheme="majorEastAsia" w:hAnsiTheme="majorEastAsia" w:eastAsiaTheme="majorEastAsia"/>
          <w:b/>
          <w:bCs/>
          <w:color w:val="auto"/>
          <w:sz w:val="32"/>
          <w:szCs w:val="32"/>
        </w:rPr>
        <w:t>编号：</w:t>
      </w:r>
      <w:r>
        <w:rPr>
          <w:rFonts w:hint="eastAsia" w:cs="Times New Roman" w:asciiTheme="majorEastAsia" w:hAnsiTheme="majorEastAsia" w:eastAsiaTheme="majorEastAsia"/>
          <w:b/>
          <w:bCs/>
          <w:color w:val="auto"/>
          <w:sz w:val="32"/>
          <w:szCs w:val="32"/>
        </w:rPr>
        <w:t>JXTCJDZ20201802</w:t>
      </w:r>
      <w:r>
        <w:rPr>
          <w:rFonts w:hint="eastAsia" w:cs="Times New Roman" w:asciiTheme="majorEastAsia" w:hAnsiTheme="majorEastAsia" w:eastAsiaTheme="majorEastAsia"/>
          <w:b/>
          <w:bCs/>
          <w:color w:val="auto"/>
          <w:sz w:val="32"/>
          <w:szCs w:val="32"/>
          <w:lang w:val="en-US" w:eastAsia="zh-CN"/>
        </w:rPr>
        <w:t>19</w:t>
      </w:r>
      <w:r>
        <w:rPr>
          <w:rFonts w:hint="eastAsia" w:cs="Times New Roman" w:asciiTheme="majorEastAsia" w:hAnsiTheme="majorEastAsia" w:eastAsiaTheme="majorEastAsia"/>
          <w:b/>
          <w:bCs/>
          <w:color w:val="auto"/>
          <w:sz w:val="32"/>
          <w:szCs w:val="32"/>
        </w:rPr>
        <w:t>）竞争性</w:t>
      </w:r>
      <w:r>
        <w:rPr>
          <w:rFonts w:hint="eastAsia" w:cs="Times New Roman" w:asciiTheme="majorEastAsia" w:hAnsiTheme="majorEastAsia" w:eastAsiaTheme="majorEastAsia"/>
          <w:b/>
          <w:bCs/>
          <w:color w:val="auto"/>
          <w:sz w:val="32"/>
          <w:szCs w:val="32"/>
          <w:lang w:val="en-US" w:eastAsia="zh-CN"/>
        </w:rPr>
        <w:t>磋商</w:t>
      </w:r>
      <w:r>
        <w:rPr>
          <w:rFonts w:hint="eastAsia" w:cs="Times New Roman" w:asciiTheme="majorEastAsia" w:hAnsiTheme="majorEastAsia" w:eastAsiaTheme="majorEastAsia"/>
          <w:b/>
          <w:bCs/>
          <w:color w:val="auto"/>
          <w:sz w:val="32"/>
          <w:szCs w:val="32"/>
        </w:rPr>
        <w:t>采购公告</w:t>
      </w:r>
    </w:p>
    <w:bookmarkEnd w:id="0"/>
    <w:bookmarkEnd w:id="1"/>
    <w:bookmarkEnd w:id="2"/>
    <w:p>
      <w:pPr>
        <w:spacing w:line="312" w:lineRule="auto"/>
        <w:rPr>
          <w:rFonts w:hint="eastAsia" w:ascii="仿宋" w:hAnsi="仿宋" w:eastAsia="仿宋" w:cs="仿宋"/>
          <w:color w:val="auto"/>
          <w:highlight w:val="none"/>
        </w:rPr>
      </w:pPr>
      <w:bookmarkStart w:id="35" w:name="_GoBack"/>
      <w:bookmarkEnd w:id="35"/>
    </w:p>
    <w:p>
      <w:pPr>
        <w:pBdr>
          <w:top w:val="single" w:color="auto" w:sz="4" w:space="1"/>
          <w:left w:val="single" w:color="auto" w:sz="4" w:space="4"/>
          <w:bottom w:val="single" w:color="auto" w:sz="4" w:space="1"/>
          <w:right w:val="single" w:color="auto" w:sz="4" w:space="4"/>
        </w:pBd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color w:val="auto"/>
          <w:sz w:val="28"/>
          <w:szCs w:val="28"/>
          <w:highlight w:val="none"/>
          <w:lang w:eastAsia="zh-CN"/>
        </w:rPr>
        <w:t>江西陶瓷工艺美术职业技术学院材料与工程学院综合楼AB栋通道改造工程</w:t>
      </w:r>
      <w:r>
        <w:rPr>
          <w:rFonts w:hint="eastAsia" w:ascii="仿宋" w:hAnsi="仿宋" w:eastAsia="仿宋"/>
          <w:color w:val="auto"/>
          <w:sz w:val="28"/>
          <w:szCs w:val="28"/>
          <w:highlight w:val="none"/>
        </w:rPr>
        <w:t>的潜在供应商应在（景德镇分公司景德镇市瓷都大道东侧金岸名都小区B3座一单元1401号）</w:t>
      </w:r>
      <w:r>
        <w:rPr>
          <w:rFonts w:hint="eastAsia" w:ascii="仿宋" w:hAnsi="仿宋" w:eastAsia="仿宋"/>
          <w:color w:val="auto"/>
          <w:sz w:val="28"/>
          <w:szCs w:val="28"/>
          <w:highlight w:val="none"/>
          <w:lang w:val="en-US" w:eastAsia="zh-CN"/>
        </w:rPr>
        <w:t>获</w:t>
      </w:r>
      <w:r>
        <w:rPr>
          <w:rFonts w:hint="eastAsia" w:ascii="仿宋" w:hAnsi="仿宋" w:eastAsia="仿宋"/>
          <w:color w:val="auto"/>
          <w:sz w:val="28"/>
          <w:szCs w:val="28"/>
          <w:highlight w:val="none"/>
        </w:rPr>
        <w:t>取</w:t>
      </w:r>
      <w:r>
        <w:rPr>
          <w:rFonts w:hint="eastAsia" w:ascii="仿宋" w:hAnsi="仿宋" w:eastAsia="仿宋"/>
          <w:color w:val="auto"/>
          <w:sz w:val="28"/>
          <w:szCs w:val="28"/>
          <w:highlight w:val="none"/>
          <w:lang w:val="en-US" w:eastAsia="zh-CN"/>
        </w:rPr>
        <w:t>磋商</w:t>
      </w:r>
      <w:r>
        <w:rPr>
          <w:rFonts w:hint="eastAsia" w:ascii="仿宋" w:hAnsi="仿宋" w:eastAsia="仿宋"/>
          <w:color w:val="auto"/>
          <w:sz w:val="28"/>
          <w:szCs w:val="28"/>
          <w:highlight w:val="none"/>
          <w:lang w:eastAsia="zh-CN"/>
        </w:rPr>
        <w:t>文件</w:t>
      </w:r>
      <w:r>
        <w:rPr>
          <w:rFonts w:hint="eastAsia" w:ascii="仿宋" w:hAnsi="仿宋" w:eastAsia="仿宋"/>
          <w:color w:val="auto"/>
          <w:sz w:val="28"/>
          <w:szCs w:val="28"/>
          <w:highlight w:val="none"/>
        </w:rPr>
        <w:t>及其它资料</w:t>
      </w:r>
      <w:r>
        <w:rPr>
          <w:rFonts w:hint="eastAsia" w:ascii="仿宋" w:hAnsi="仿宋" w:eastAsia="仿宋"/>
          <w:color w:val="auto"/>
          <w:sz w:val="28"/>
          <w:szCs w:val="28"/>
          <w:highlight w:val="none"/>
          <w:lang w:eastAsia="zh-CN"/>
        </w:rPr>
        <w:t>；</w:t>
      </w:r>
      <w:r>
        <w:rPr>
          <w:rFonts w:hint="eastAsia" w:ascii="仿宋" w:hAnsi="仿宋" w:eastAsia="仿宋"/>
          <w:sz w:val="28"/>
          <w:szCs w:val="28"/>
          <w:highlight w:val="none"/>
          <w:lang w:eastAsia="zh-CN"/>
        </w:rPr>
        <w:t>或</w:t>
      </w:r>
      <w:r>
        <w:rPr>
          <w:rFonts w:hint="eastAsia" w:ascii="仿宋" w:hAnsi="仿宋" w:eastAsia="仿宋"/>
          <w:sz w:val="28"/>
          <w:szCs w:val="28"/>
          <w:highlight w:val="none"/>
        </w:rPr>
        <w:t>登录精彩纵横电子交易平台网站（网址： http://www.jczh100.com)获取</w:t>
      </w:r>
      <w:r>
        <w:rPr>
          <w:rFonts w:hint="eastAsia" w:ascii="仿宋" w:hAnsi="仿宋" w:eastAsia="仿宋"/>
          <w:sz w:val="28"/>
          <w:szCs w:val="28"/>
          <w:highlight w:val="none"/>
          <w:lang w:val="en-US" w:eastAsia="zh-CN"/>
        </w:rPr>
        <w:t>磋商</w:t>
      </w:r>
      <w:r>
        <w:rPr>
          <w:rFonts w:hint="eastAsia" w:ascii="仿宋" w:hAnsi="仿宋" w:eastAsia="仿宋"/>
          <w:sz w:val="28"/>
          <w:szCs w:val="28"/>
          <w:highlight w:val="none"/>
          <w:lang w:eastAsia="zh-CN"/>
        </w:rPr>
        <w:t>文件</w:t>
      </w:r>
      <w:r>
        <w:rPr>
          <w:rFonts w:hint="eastAsia" w:ascii="仿宋" w:hAnsi="仿宋" w:eastAsia="仿宋"/>
          <w:sz w:val="28"/>
          <w:szCs w:val="28"/>
          <w:highlight w:val="none"/>
        </w:rPr>
        <w:t>及其它资料</w:t>
      </w:r>
      <w:r>
        <w:rPr>
          <w:rFonts w:hint="eastAsia" w:ascii="仿宋" w:hAnsi="仿宋" w:eastAsia="仿宋"/>
          <w:color w:val="auto"/>
          <w:sz w:val="28"/>
          <w:szCs w:val="28"/>
          <w:highlight w:val="none"/>
        </w:rPr>
        <w:t>。并于</w:t>
      </w:r>
      <w:r>
        <w:rPr>
          <w:rFonts w:hint="eastAsia" w:ascii="仿宋" w:hAnsi="仿宋" w:eastAsia="仿宋"/>
          <w:color w:val="auto"/>
          <w:sz w:val="28"/>
          <w:szCs w:val="28"/>
          <w:highlight w:val="none"/>
          <w:lang w:val="en-US" w:eastAsia="zh-CN"/>
        </w:rPr>
        <w:t>2020</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11</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20</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09</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30</w:t>
      </w:r>
      <w:r>
        <w:rPr>
          <w:rFonts w:hint="eastAsia" w:ascii="仿宋" w:hAnsi="仿宋" w:eastAsia="仿宋"/>
          <w:color w:val="auto"/>
          <w:sz w:val="28"/>
          <w:szCs w:val="28"/>
          <w:highlight w:val="none"/>
        </w:rPr>
        <w:t>分（北京时间）前提交响应文件。</w:t>
      </w:r>
    </w:p>
    <w:p>
      <w:pPr>
        <w:rPr>
          <w:rFonts w:ascii="仿宋" w:hAnsi="仿宋" w:eastAsia="仿宋" w:cs="仿宋"/>
          <w:sz w:val="24"/>
          <w:szCs w:val="24"/>
        </w:rPr>
      </w:pPr>
    </w:p>
    <w:p>
      <w:pPr>
        <w:pStyle w:val="3"/>
        <w:spacing w:line="360" w:lineRule="auto"/>
        <w:rPr>
          <w:rFonts w:ascii="仿宋" w:hAnsi="仿宋" w:eastAsia="仿宋" w:cs="仿宋"/>
          <w:bCs w:val="0"/>
          <w:sz w:val="24"/>
          <w:szCs w:val="24"/>
        </w:rPr>
      </w:pPr>
      <w:bookmarkStart w:id="3" w:name="_Toc35393790"/>
      <w:bookmarkStart w:id="4" w:name="_Toc35393621"/>
      <w:bookmarkStart w:id="5" w:name="_Toc28359002"/>
      <w:bookmarkStart w:id="6" w:name="_Toc28359079"/>
      <w:bookmarkStart w:id="7" w:name="_Toc27129"/>
      <w:bookmarkStart w:id="8" w:name="_Hlk24379207"/>
      <w:r>
        <w:rPr>
          <w:rFonts w:hint="eastAsia" w:ascii="仿宋" w:hAnsi="仿宋" w:eastAsia="仿宋" w:cs="仿宋"/>
          <w:bCs w:val="0"/>
          <w:sz w:val="24"/>
          <w:szCs w:val="24"/>
        </w:rPr>
        <w:t>一、项目基本情况</w:t>
      </w:r>
      <w:bookmarkEnd w:id="3"/>
      <w:bookmarkEnd w:id="4"/>
      <w:bookmarkEnd w:id="5"/>
      <w:bookmarkEnd w:id="6"/>
      <w:bookmarkEnd w:id="7"/>
    </w:p>
    <w:bookmarkEnd w:id="8"/>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olor w:val="auto"/>
          <w:sz w:val="24"/>
          <w:szCs w:val="24"/>
          <w:highlight w:val="none"/>
          <w:lang w:val="en-US" w:eastAsia="zh-CN"/>
        </w:rPr>
      </w:pPr>
      <w:bookmarkStart w:id="9" w:name="_Toc35393622"/>
      <w:bookmarkStart w:id="10" w:name="_Toc28359080"/>
      <w:bookmarkStart w:id="11" w:name="_Toc28359003"/>
      <w:bookmarkStart w:id="12" w:name="_Toc35393791"/>
      <w:bookmarkStart w:id="13" w:name="_Toc26529"/>
      <w:r>
        <w:rPr>
          <w:rFonts w:hint="eastAsia" w:ascii="仿宋" w:hAnsi="仿宋" w:eastAsia="仿宋" w:cs="仿宋"/>
          <w:i w:val="0"/>
          <w:iCs w:val="0"/>
          <w:color w:val="auto"/>
          <w:sz w:val="24"/>
          <w:szCs w:val="24"/>
          <w:highlight w:val="none"/>
          <w:lang w:eastAsia="zh-CN"/>
        </w:rPr>
        <w:t>项目</w:t>
      </w:r>
      <w:r>
        <w:rPr>
          <w:rFonts w:hint="eastAsia" w:ascii="仿宋" w:hAnsi="仿宋" w:eastAsia="仿宋" w:cs="仿宋"/>
          <w:i w:val="0"/>
          <w:iCs w:val="0"/>
          <w:color w:val="auto"/>
          <w:sz w:val="24"/>
          <w:szCs w:val="24"/>
          <w:highlight w:val="none"/>
        </w:rPr>
        <w:t>编号</w:t>
      </w:r>
      <w:r>
        <w:rPr>
          <w:rFonts w:hint="eastAsia" w:ascii="仿宋" w:hAnsi="仿宋" w:eastAsia="仿宋" w:cs="仿宋"/>
          <w:i w:val="0"/>
          <w:iCs w:val="0"/>
          <w:color w:val="auto"/>
          <w:sz w:val="24"/>
          <w:szCs w:val="24"/>
          <w:highlight w:val="none"/>
          <w:lang w:eastAsia="zh-CN"/>
        </w:rPr>
        <w:t>：JXTCJDZ2020180</w:t>
      </w:r>
      <w:r>
        <w:rPr>
          <w:rFonts w:hint="eastAsia" w:ascii="仿宋" w:hAnsi="仿宋" w:eastAsia="仿宋" w:cs="仿宋"/>
          <w:i w:val="0"/>
          <w:iCs w:val="0"/>
          <w:color w:val="auto"/>
          <w:sz w:val="24"/>
          <w:szCs w:val="24"/>
          <w:highlight w:val="none"/>
          <w:lang w:val="en-US" w:eastAsia="zh-CN"/>
        </w:rPr>
        <w:t>219</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江西陶瓷工艺美术职业技术学院材料与工程学院综合楼AB栋通道改造工程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val="en-US" w:eastAsia="zh-CN"/>
        </w:rPr>
        <w:t>92741.33</w:t>
      </w:r>
      <w:r>
        <w:rPr>
          <w:rFonts w:hint="eastAsia" w:ascii="仿宋" w:hAnsi="仿宋" w:eastAsia="仿宋" w:cs="仿宋"/>
          <w:color w:val="auto"/>
          <w:sz w:val="24"/>
          <w:szCs w:val="24"/>
          <w:highlight w:val="none"/>
          <w:lang w:eastAsia="zh-CN"/>
        </w:rPr>
        <w:t>元人民币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val="en-US" w:eastAsia="zh-CN"/>
        </w:rPr>
        <w:t>92741.33</w:t>
      </w:r>
      <w:r>
        <w:rPr>
          <w:rFonts w:hint="eastAsia" w:ascii="仿宋" w:hAnsi="仿宋" w:eastAsia="仿宋" w:cs="仿宋"/>
          <w:color w:val="auto"/>
          <w:sz w:val="24"/>
          <w:szCs w:val="24"/>
          <w:highlight w:val="none"/>
          <w:lang w:eastAsia="zh-CN"/>
        </w:rPr>
        <w:t>元人民币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tbl>
      <w:tblPr>
        <w:tblStyle w:val="10"/>
        <w:tblW w:w="895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750"/>
        <w:gridCol w:w="1542"/>
        <w:gridCol w:w="1356"/>
        <w:gridCol w:w="1821"/>
        <w:gridCol w:w="1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275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项目名称</w:t>
            </w:r>
          </w:p>
        </w:tc>
        <w:tc>
          <w:tcPr>
            <w:tcW w:w="1542"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数量</w:t>
            </w:r>
          </w:p>
        </w:tc>
        <w:tc>
          <w:tcPr>
            <w:tcW w:w="1356"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单位</w:t>
            </w:r>
          </w:p>
        </w:tc>
        <w:tc>
          <w:tcPr>
            <w:tcW w:w="1821"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采购预算</w:t>
            </w:r>
            <w:r>
              <w:rPr>
                <w:rFonts w:hint="eastAsia" w:ascii="仿宋" w:hAnsi="仿宋" w:eastAsia="仿宋" w:cs="仿宋"/>
                <w:b/>
                <w:bCs/>
                <w:color w:val="auto"/>
                <w:kern w:val="0"/>
                <w:sz w:val="21"/>
                <w:szCs w:val="21"/>
                <w:highlight w:val="none"/>
                <w:lang w:val="en-US" w:eastAsia="zh-CN" w:bidi="ar"/>
              </w:rPr>
              <w:br w:type="textWrapping"/>
            </w:r>
            <w:r>
              <w:rPr>
                <w:rFonts w:hint="eastAsia" w:ascii="仿宋" w:hAnsi="仿宋" w:eastAsia="仿宋" w:cs="仿宋"/>
                <w:b/>
                <w:bCs/>
                <w:color w:val="auto"/>
                <w:kern w:val="0"/>
                <w:sz w:val="21"/>
                <w:szCs w:val="21"/>
                <w:highlight w:val="none"/>
                <w:lang w:val="en-US" w:eastAsia="zh-CN" w:bidi="ar"/>
              </w:rPr>
              <w:t>（人民币）</w:t>
            </w:r>
          </w:p>
        </w:tc>
        <w:tc>
          <w:tcPr>
            <w:tcW w:w="149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jc w:val="center"/>
        </w:trPr>
        <w:tc>
          <w:tcPr>
            <w:tcW w:w="275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材料与工程学院综合楼AB栋通道改造工程</w:t>
            </w:r>
          </w:p>
        </w:tc>
        <w:tc>
          <w:tcPr>
            <w:tcW w:w="1542"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6"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w:t>
            </w:r>
          </w:p>
        </w:tc>
        <w:tc>
          <w:tcPr>
            <w:tcW w:w="1821"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92741.33</w:t>
            </w:r>
          </w:p>
        </w:tc>
        <w:tc>
          <w:tcPr>
            <w:tcW w:w="149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w:t>
      </w:r>
      <w:r>
        <w:rPr>
          <w:rFonts w:hint="eastAsia" w:ascii="仿宋" w:hAnsi="仿宋" w:eastAsia="仿宋" w:cs="仿宋"/>
          <w:i w:val="0"/>
          <w:iCs/>
          <w:color w:val="auto"/>
          <w:sz w:val="24"/>
          <w:szCs w:val="24"/>
          <w:highlight w:val="none"/>
          <w:u w:val="none"/>
          <w:lang w:eastAsia="zh-CN"/>
        </w:rPr>
        <w:t>不</w:t>
      </w:r>
      <w:r>
        <w:rPr>
          <w:rFonts w:hint="eastAsia" w:ascii="仿宋" w:hAnsi="仿宋" w:eastAsia="仿宋" w:cs="仿宋"/>
          <w:i w:val="0"/>
          <w:iCs/>
          <w:color w:val="auto"/>
          <w:sz w:val="24"/>
          <w:szCs w:val="24"/>
          <w:highlight w:val="none"/>
          <w:u w:val="none"/>
        </w:rPr>
        <w:t>接</w:t>
      </w:r>
      <w:r>
        <w:rPr>
          <w:rFonts w:hint="eastAsia" w:ascii="仿宋" w:hAnsi="仿宋" w:eastAsia="仿宋" w:cs="仿宋"/>
          <w:color w:val="auto"/>
          <w:sz w:val="24"/>
          <w:szCs w:val="24"/>
          <w:highlight w:val="none"/>
        </w:rPr>
        <w:t>受联合体</w:t>
      </w:r>
      <w:r>
        <w:rPr>
          <w:rFonts w:hint="eastAsia" w:ascii="仿宋" w:hAnsi="仿宋" w:eastAsia="仿宋" w:cs="仿宋"/>
          <w:color w:val="auto"/>
          <w:sz w:val="24"/>
          <w:szCs w:val="24"/>
          <w:highlight w:val="none"/>
          <w:lang w:eastAsia="zh-CN"/>
        </w:rPr>
        <w:t>。</w:t>
      </w:r>
    </w:p>
    <w:p>
      <w:pPr>
        <w:pStyle w:val="3"/>
        <w:keepNext w:val="0"/>
        <w:keepLines w:val="0"/>
        <w:spacing w:line="240" w:lineRule="auto"/>
        <w:rPr>
          <w:rFonts w:ascii="仿宋" w:hAnsi="仿宋" w:eastAsia="仿宋" w:cs="仿宋"/>
          <w:bCs w:val="0"/>
          <w:sz w:val="24"/>
          <w:szCs w:val="24"/>
        </w:rPr>
      </w:pPr>
      <w:r>
        <w:rPr>
          <w:rFonts w:hint="eastAsia" w:ascii="仿宋" w:hAnsi="仿宋" w:eastAsia="仿宋" w:cs="仿宋"/>
          <w:bCs w:val="0"/>
          <w:sz w:val="24"/>
          <w:szCs w:val="24"/>
        </w:rPr>
        <w:t>二、申请人的资格要求</w:t>
      </w:r>
      <w:bookmarkEnd w:id="9"/>
      <w:bookmarkEnd w:id="10"/>
      <w:bookmarkEnd w:id="11"/>
      <w:bookmarkEnd w:id="12"/>
      <w:bookmarkEnd w:id="13"/>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1.满足《中华人民共和国</w:t>
      </w:r>
      <w:r>
        <w:rPr>
          <w:rFonts w:hint="eastAsia" w:ascii="仿宋" w:hAnsi="仿宋" w:eastAsia="仿宋" w:cs="仿宋"/>
          <w:sz w:val="24"/>
          <w:szCs w:val="24"/>
          <w:lang w:eastAsia="zh-CN"/>
        </w:rPr>
        <w:t>采购</w:t>
      </w:r>
      <w:r>
        <w:rPr>
          <w:rFonts w:hint="eastAsia" w:ascii="仿宋" w:hAnsi="仿宋" w:eastAsia="仿宋" w:cs="仿宋"/>
          <w:sz w:val="24"/>
          <w:szCs w:val="24"/>
        </w:rPr>
        <w:t>法》第二十二条规定；</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（3）具有履行合同所必须的设备和专业技术能力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（5）参加</w:t>
      </w:r>
      <w:r>
        <w:rPr>
          <w:rFonts w:hint="eastAsia" w:ascii="仿宋" w:hAnsi="仿宋" w:eastAsia="仿宋" w:cs="仿宋"/>
          <w:sz w:val="24"/>
          <w:szCs w:val="24"/>
          <w:lang w:eastAsia="zh-CN"/>
        </w:rPr>
        <w:t>采购</w:t>
      </w:r>
      <w:r>
        <w:rPr>
          <w:rFonts w:hint="eastAsia" w:ascii="仿宋" w:hAnsi="仿宋" w:eastAsia="仿宋" w:cs="仿宋"/>
          <w:sz w:val="24"/>
          <w:szCs w:val="24"/>
        </w:rPr>
        <w:t>活动前三年内,在经营活动中没有重大违法记录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（6）法律、行政法规规定的其他条件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1）单位负责人为同一人或者存在直接控股、管理关系的不同供应商，不得参加同一合同项下的采购活动。</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2）为采购项目提供整体设计、规范编制或者项目管理、监理、检测等服务的供应商不得参加该采购项目的采购活动。</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3）供应商被“信用中国”网站（https://www.creditchina.gov.cn/）列入失信被执行人和重大税收违法案件当事人名单的、被“中国</w:t>
      </w:r>
      <w:r>
        <w:rPr>
          <w:rFonts w:hint="eastAsia" w:ascii="仿宋" w:hAnsi="仿宋" w:eastAsia="仿宋" w:cs="仿宋"/>
          <w:sz w:val="24"/>
          <w:szCs w:val="24"/>
          <w:lang w:eastAsia="zh-CN"/>
        </w:rPr>
        <w:t>采购</w:t>
      </w:r>
      <w:r>
        <w:rPr>
          <w:rFonts w:hint="eastAsia" w:ascii="仿宋" w:hAnsi="仿宋" w:eastAsia="仿宋" w:cs="仿宋"/>
          <w:sz w:val="24"/>
          <w:szCs w:val="24"/>
        </w:rPr>
        <w:t>网”网站列入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严重违法失信行为记录名单（处罚期限尚未届满的），不得参与本项目的</w:t>
      </w:r>
      <w:r>
        <w:rPr>
          <w:rFonts w:hint="eastAsia" w:ascii="仿宋" w:hAnsi="仿宋" w:eastAsia="仿宋" w:cs="仿宋"/>
          <w:sz w:val="24"/>
          <w:szCs w:val="24"/>
          <w:lang w:eastAsia="zh-CN"/>
        </w:rPr>
        <w:t>采购</w:t>
      </w:r>
      <w:r>
        <w:rPr>
          <w:rFonts w:hint="eastAsia" w:ascii="仿宋" w:hAnsi="仿宋" w:eastAsia="仿宋" w:cs="仿宋"/>
          <w:sz w:val="24"/>
          <w:szCs w:val="24"/>
        </w:rPr>
        <w:t>活动。</w:t>
      </w:r>
    </w:p>
    <w:p>
      <w:pPr>
        <w:spacing w:line="460" w:lineRule="exact"/>
        <w:ind w:left="660" w:leftChars="200" w:hanging="240" w:hangingChars="1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（1）为本采购项目提供整体设计、规范编制或者项目管理、监理、检测等服务的，不得参加本项目的采购活动。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具有建设行政主管部门核发的建筑工程施工总承包叁级及以上或建筑装修装饰工程专业承包贰级及以上资质；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具有有效的安全生产许可证；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本项目的项目负责人须具有二级及以上注册建造师证书（</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rPr>
        <w:t>含临时）（专业：建筑工程）（证书上的单位名称须与供应商名称一致）；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本项目的项目负责人须具有B类安全生产考核合格证书（证书上的单位名称须与供应商名称一致）。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本项目的施工员须具有上岗证书（岗位证书）（证书上的单位名称须与供应商名称一致）。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本项目的专职安全员须具有C类安全生产考核合格证书（证书上的单位名称须与供应商名称一致）。</w:t>
      </w:r>
    </w:p>
    <w:p>
      <w:pPr>
        <w:pStyle w:val="3"/>
        <w:keepNext w:val="0"/>
        <w:keepLines w:val="0"/>
        <w:spacing w:line="240" w:lineRule="auto"/>
        <w:rPr>
          <w:rFonts w:ascii="仿宋" w:hAnsi="仿宋" w:eastAsia="仿宋" w:cs="仿宋"/>
          <w:bCs w:val="0"/>
          <w:sz w:val="24"/>
          <w:szCs w:val="24"/>
        </w:rPr>
      </w:pPr>
      <w:r>
        <w:rPr>
          <w:rFonts w:hint="eastAsia" w:ascii="仿宋" w:hAnsi="仿宋" w:eastAsia="仿宋" w:cs="仿宋"/>
          <w:bCs w:val="0"/>
          <w:sz w:val="24"/>
          <w:szCs w:val="24"/>
        </w:rPr>
        <w:t>三、获取磋商文件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日至</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日（北京时间，法定节假日除外 ），8:30～12:00，14:00～17:30时。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地点：详见其他补充事宜</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方式：网上报名和下载磋商文件、线下报名和购买磋商文件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售价：200元人民币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highlight w:val="none"/>
          <w:lang w:eastAsia="zh-CN"/>
        </w:rPr>
      </w:pPr>
      <w:bookmarkStart w:id="14" w:name="_Toc35393625"/>
      <w:bookmarkStart w:id="15" w:name="_Toc35393794"/>
      <w:bookmarkStart w:id="16" w:name="_Toc28359084"/>
      <w:bookmarkStart w:id="17" w:name="_Toc12960"/>
      <w:bookmarkStart w:id="18" w:name="_Toc28359007"/>
      <w:r>
        <w:rPr>
          <w:rFonts w:hint="eastAsia" w:ascii="仿宋" w:hAnsi="仿宋" w:eastAsia="仿宋" w:cs="仿宋"/>
          <w:b/>
          <w:bCs/>
          <w:color w:val="auto"/>
          <w:sz w:val="24"/>
          <w:szCs w:val="24"/>
          <w:highlight w:val="none"/>
          <w:lang w:eastAsia="zh-CN"/>
        </w:rPr>
        <w:t>供应商在报名领取磋商文件时必须提交的资料：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1）营业执照复印件加盖供应商公章；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2）法人代表授权书原件、法人身份证复印件加盖公章和被授权委托人身份证复印件加盖供应商公章。</w:t>
      </w:r>
    </w:p>
    <w:p>
      <w:pPr>
        <w:pStyle w:val="3"/>
        <w:spacing w:line="360" w:lineRule="auto"/>
        <w:rPr>
          <w:rFonts w:hint="eastAsia" w:ascii="仿宋" w:hAnsi="仿宋" w:eastAsia="仿宋" w:cs="仿宋"/>
          <w:b/>
          <w:bCs w:val="0"/>
          <w:color w:val="auto"/>
          <w:sz w:val="24"/>
          <w:szCs w:val="24"/>
          <w:highlight w:val="none"/>
        </w:rPr>
      </w:pPr>
      <w:bookmarkStart w:id="19" w:name="_Toc28359082"/>
      <w:bookmarkStart w:id="20" w:name="_Toc28359005"/>
      <w:bookmarkStart w:id="21" w:name="_Toc20720"/>
      <w:bookmarkStart w:id="22" w:name="_Toc35393793"/>
      <w:bookmarkStart w:id="23" w:name="_Toc22721"/>
      <w:bookmarkStart w:id="24" w:name="_Toc35393624"/>
      <w:r>
        <w:rPr>
          <w:rFonts w:hint="eastAsia" w:ascii="仿宋" w:hAnsi="仿宋" w:eastAsia="仿宋" w:cs="仿宋"/>
          <w:b/>
          <w:bCs w:val="0"/>
          <w:color w:val="auto"/>
          <w:sz w:val="24"/>
          <w:szCs w:val="24"/>
          <w:highlight w:val="none"/>
        </w:rPr>
        <w:t>四、提交</w:t>
      </w:r>
      <w:r>
        <w:rPr>
          <w:rFonts w:hint="eastAsia" w:ascii="仿宋" w:hAnsi="仿宋" w:eastAsia="仿宋" w:cs="仿宋"/>
          <w:b/>
          <w:bCs w:val="0"/>
          <w:color w:val="auto"/>
          <w:sz w:val="24"/>
          <w:szCs w:val="24"/>
          <w:highlight w:val="none"/>
          <w:lang w:eastAsia="zh-CN"/>
        </w:rPr>
        <w:t>响应</w:t>
      </w:r>
      <w:r>
        <w:rPr>
          <w:rFonts w:hint="eastAsia" w:ascii="仿宋" w:hAnsi="仿宋" w:eastAsia="仿宋" w:cs="仿宋"/>
          <w:b/>
          <w:bCs w:val="0"/>
          <w:color w:val="auto"/>
          <w:sz w:val="24"/>
          <w:szCs w:val="24"/>
          <w:highlight w:val="none"/>
        </w:rPr>
        <w:t>文件</w:t>
      </w:r>
      <w:bookmarkEnd w:id="19"/>
      <w:bookmarkEnd w:id="20"/>
      <w:r>
        <w:rPr>
          <w:rFonts w:hint="eastAsia" w:ascii="仿宋" w:hAnsi="仿宋" w:eastAsia="仿宋" w:cs="仿宋"/>
          <w:b/>
          <w:bCs w:val="0"/>
          <w:color w:val="auto"/>
          <w:sz w:val="24"/>
          <w:szCs w:val="24"/>
          <w:highlight w:val="none"/>
        </w:rPr>
        <w:t>截止时间和地点</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截止时间：</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lang w:eastAsia="zh-CN"/>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地</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rPr>
        <w:t>江西陶瓷工艺美术职业技术学院</w:t>
      </w:r>
      <w:r>
        <w:rPr>
          <w:rFonts w:hint="eastAsia" w:ascii="仿宋" w:hAnsi="仿宋" w:eastAsia="仿宋" w:cs="仿宋"/>
          <w:color w:val="auto"/>
          <w:sz w:val="24"/>
          <w:szCs w:val="24"/>
          <w:highlight w:val="none"/>
          <w:lang w:val="en-US" w:eastAsia="zh-CN"/>
        </w:rPr>
        <w:t>新校区行政楼211室</w:t>
      </w:r>
    </w:p>
    <w:p>
      <w:pPr>
        <w:pStyle w:val="3"/>
        <w:spacing w:line="360" w:lineRule="auto"/>
        <w:rPr>
          <w:rFonts w:hint="eastAsia" w:ascii="仿宋" w:hAnsi="仿宋" w:eastAsia="仿宋" w:cs="仿宋"/>
          <w:b/>
          <w:bCs w:val="0"/>
          <w:color w:val="auto"/>
          <w:sz w:val="24"/>
          <w:szCs w:val="24"/>
          <w:highlight w:val="none"/>
        </w:rPr>
      </w:pPr>
      <w:bookmarkStart w:id="25" w:name="_Toc20483"/>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、其他补充事宜</w:t>
      </w:r>
      <w:bookmarkEnd w:id="2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获取</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lang w:eastAsia="zh-CN"/>
        </w:rPr>
        <w:t>文件地点：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）电子磋商文件获取方式：登录精彩纵横电子交易平台网站（网址： http://www.jczh100.com)，注册登记并通过审核后，在网上缴费并获取磋商文件及其它资料。（如已注册过，则直接网上缴费并下载即可）。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1）具体注册事宜可登陆精彩纵横电子交易平台网站（http://www.jczh100.com）查看“CA数字证书办理须知”，具体资料清单及办理地点见须知；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2）相关问题也可拨打咨询电话：400-8566-100（注册咨询电话）；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3）建议使用微软的ie8及以上版本浏览器，不要使用第三方浏览器；如果遇到无法网上支付问题，请注意浏览器提示，注意启用银行控件。</w:t>
      </w:r>
    </w:p>
    <w:p>
      <w:pPr>
        <w:pStyle w:val="2"/>
        <w:rPr>
          <w:rFonts w:hint="default"/>
          <w:lang w:val="en-US" w:eastAsia="zh-CN"/>
        </w:rPr>
      </w:pPr>
    </w:p>
    <w:bookmarkEnd w:id="14"/>
    <w:bookmarkEnd w:id="15"/>
    <w:bookmarkEnd w:id="16"/>
    <w:bookmarkEnd w:id="17"/>
    <w:bookmarkEnd w:id="18"/>
    <w:p>
      <w:pPr>
        <w:pStyle w:val="27"/>
        <w:rPr>
          <w:rFonts w:ascii="仿宋" w:hAnsi="仿宋" w:eastAsia="仿宋" w:cs="仿宋"/>
          <w:sz w:val="24"/>
        </w:rPr>
      </w:pPr>
    </w:p>
    <w:p>
      <w:pPr>
        <w:pStyle w:val="3"/>
        <w:keepNext w:val="0"/>
        <w:keepLines w:val="0"/>
        <w:spacing w:line="240" w:lineRule="auto"/>
        <w:rPr>
          <w:rFonts w:ascii="仿宋" w:hAnsi="仿宋" w:eastAsia="仿宋" w:cs="仿宋"/>
          <w:bCs w:val="0"/>
          <w:sz w:val="24"/>
          <w:szCs w:val="24"/>
        </w:rPr>
      </w:pPr>
      <w:bookmarkStart w:id="26" w:name="_Toc28359085"/>
      <w:bookmarkStart w:id="27" w:name="_Toc35393796"/>
      <w:bookmarkStart w:id="28" w:name="_Toc28359008"/>
      <w:bookmarkStart w:id="29" w:name="_Toc25456"/>
      <w:bookmarkStart w:id="30" w:name="_Toc35393627"/>
      <w:r>
        <w:rPr>
          <w:rFonts w:hint="eastAsia" w:ascii="仿宋" w:hAnsi="仿宋" w:eastAsia="仿宋" w:cs="仿宋"/>
          <w:bCs w:val="0"/>
          <w:sz w:val="24"/>
          <w:szCs w:val="24"/>
          <w:lang w:val="en-US" w:eastAsia="zh-CN"/>
        </w:rPr>
        <w:t>六</w:t>
      </w:r>
      <w:r>
        <w:rPr>
          <w:rFonts w:hint="eastAsia" w:ascii="仿宋" w:hAnsi="仿宋" w:eastAsia="仿宋" w:cs="仿宋"/>
          <w:bCs w:val="0"/>
          <w:sz w:val="24"/>
          <w:szCs w:val="24"/>
        </w:rPr>
        <w:t>、对本次采购提出询问，请按以下方式联系。</w:t>
      </w:r>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称：江西陶瓷工艺美术职业技术学院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地址：江西陶瓷工艺美术职业技术学院新校区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w:t>
      </w:r>
      <w:bookmarkStart w:id="31" w:name="_Toc28359086"/>
      <w:bookmarkStart w:id="32" w:name="_Toc28359009"/>
      <w:r>
        <w:rPr>
          <w:rFonts w:hint="eastAsia" w:ascii="仿宋" w:hAnsi="仿宋" w:eastAsia="仿宋" w:cs="仿宋"/>
          <w:color w:val="auto"/>
          <w:sz w:val="24"/>
          <w:szCs w:val="24"/>
          <w:highlight w:val="none"/>
          <w:lang w:val="en-US" w:eastAsia="zh-CN"/>
        </w:rPr>
        <w:t>0798-8444090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2.采购代理机构信息</w:t>
      </w:r>
      <w:bookmarkEnd w:id="31"/>
      <w:bookmarkEnd w:id="3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bookmarkStart w:id="33" w:name="_Toc28359010"/>
      <w:bookmarkStart w:id="34" w:name="_Toc28359087"/>
      <w:r>
        <w:rPr>
          <w:rFonts w:hint="eastAsia" w:ascii="仿宋" w:hAnsi="仿宋" w:eastAsia="仿宋" w:cs="仿宋"/>
          <w:color w:val="auto"/>
          <w:sz w:val="24"/>
          <w:szCs w:val="24"/>
          <w:highlight w:val="none"/>
          <w:lang w:val="en-US" w:eastAsia="zh-CN"/>
        </w:rPr>
        <w:t>采购代理机构名称：江西省机电设备招标有限公司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采购代理机构地址：江西省南昌市东湖区省政府大院北二路92号（咨询大厦）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景德镇分公司地址：景德镇市瓷都大道东侧金岸名都小区B3座一单元1401号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电子函件：jxzb18@jxzxtz.com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3.项目联系方式</w:t>
      </w:r>
      <w:bookmarkEnd w:id="33"/>
      <w:bookmarkEnd w:id="3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联系人：李嘉霖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联系电话：0798-8593153/18179808880（电话不通时请发短信）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color w:val="auto"/>
        </w:rPr>
      </w:pP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SmallGap" w:color="622423" w:sz="24" w:space="1"/>
      </w:pBdr>
      <w:rPr>
        <w:rFonts w:ascii="Cambria" w:hAnsi="Cambria"/>
        <w:sz w:val="22"/>
        <w:szCs w:val="32"/>
      </w:rPr>
    </w:pPr>
    <w:r>
      <w:pict>
        <v:shape id="PowerPlusWaterMarkObject42675947" o:spid="_x0000_s94209" o:spt="136" type="#_x0000_t136" style="position:absolute;left:0pt;height:45.65pt;width:593.75pt;mso-position-horizontal:center;mso-position-horizontal-relative:margin;mso-position-vertical:center;mso-position-vertical-relative:margin;rotation:20643840f;z-index:-251658240;mso-width-relative:page;mso-height-relative:page;" fillcolor="#999999" filled="t" stroked="f" coordsize="21600,21600" o:allowincell="f">
          <v:path/>
          <v:fill on="t" opacity="32768f" focussize="0,0"/>
          <v:stroke on="f"/>
          <v:imagedata o:title=""/>
          <o:lock v:ext="edit"/>
          <v:textpath on="t" fitshape="t" fitpath="t" trim="t" xscale="f" string="江西省机电设备招标有限公司" style="font-family:宋体;font-size:1pt;v-text-align:center;"/>
        </v:shape>
      </w:pict>
    </w:r>
    <w:r>
      <w:rPr>
        <w:b/>
        <w:sz w:val="72"/>
        <w:szCs w:val="72"/>
      </w:rPr>
      <w:drawing>
        <wp:inline distT="0" distB="0" distL="0" distR="0">
          <wp:extent cx="165100" cy="165100"/>
          <wp:effectExtent l="19050" t="0" r="6350" b="0"/>
          <wp:docPr id="1" name="图片 2"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_B03V001`T(6~_3X7LL@R"/>
                  <pic:cNvPicPr>
                    <a:picLocks noChangeAspect="1" noChangeArrowheads="1"/>
                  </pic:cNvPicPr>
                </pic:nvPicPr>
                <pic:blipFill>
                  <a:blip r:embed="rId1"/>
                  <a:srcRect/>
                  <a:stretch>
                    <a:fillRect/>
                  </a:stretch>
                </pic:blipFill>
                <pic:spPr>
                  <a:xfrm>
                    <a:off x="0" y="0"/>
                    <a:ext cx="165100" cy="165100"/>
                  </a:xfrm>
                  <a:prstGeom prst="rect">
                    <a:avLst/>
                  </a:prstGeom>
                  <a:noFill/>
                  <a:ln w="9525">
                    <a:noFill/>
                    <a:miter lim="800000"/>
                    <a:headEnd/>
                    <a:tailEnd/>
                  </a:ln>
                </pic:spPr>
              </pic:pic>
            </a:graphicData>
          </a:graphic>
        </wp:inline>
      </w:drawing>
    </w:r>
    <w:r>
      <w:rPr>
        <w:rFonts w:hint="eastAsia" w:ascii="Cambria" w:hAnsi="Cambria"/>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9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C18"/>
    <w:rsid w:val="00021BDE"/>
    <w:rsid w:val="00024EF6"/>
    <w:rsid w:val="00030EB1"/>
    <w:rsid w:val="000325DE"/>
    <w:rsid w:val="00044859"/>
    <w:rsid w:val="00047FEF"/>
    <w:rsid w:val="000554E1"/>
    <w:rsid w:val="000718B5"/>
    <w:rsid w:val="0007543B"/>
    <w:rsid w:val="00075F96"/>
    <w:rsid w:val="00087ECF"/>
    <w:rsid w:val="00094E5A"/>
    <w:rsid w:val="00096D21"/>
    <w:rsid w:val="000A6F34"/>
    <w:rsid w:val="000B02DE"/>
    <w:rsid w:val="000C36B9"/>
    <w:rsid w:val="000C6433"/>
    <w:rsid w:val="000C7923"/>
    <w:rsid w:val="000C7A9C"/>
    <w:rsid w:val="000D666D"/>
    <w:rsid w:val="000D73AA"/>
    <w:rsid w:val="000D74EF"/>
    <w:rsid w:val="000E504D"/>
    <w:rsid w:val="000E5C24"/>
    <w:rsid w:val="000F0BCA"/>
    <w:rsid w:val="000F7863"/>
    <w:rsid w:val="00106099"/>
    <w:rsid w:val="001076EC"/>
    <w:rsid w:val="00121B62"/>
    <w:rsid w:val="00134AF5"/>
    <w:rsid w:val="00137A22"/>
    <w:rsid w:val="00140372"/>
    <w:rsid w:val="00153C2C"/>
    <w:rsid w:val="00157C51"/>
    <w:rsid w:val="00162904"/>
    <w:rsid w:val="00170F03"/>
    <w:rsid w:val="001753B2"/>
    <w:rsid w:val="001764DE"/>
    <w:rsid w:val="00177FA4"/>
    <w:rsid w:val="0018033F"/>
    <w:rsid w:val="00182320"/>
    <w:rsid w:val="00185D80"/>
    <w:rsid w:val="00186788"/>
    <w:rsid w:val="00186AF3"/>
    <w:rsid w:val="00190FB7"/>
    <w:rsid w:val="00196C5C"/>
    <w:rsid w:val="001A1F04"/>
    <w:rsid w:val="001A6EB6"/>
    <w:rsid w:val="001B6EA1"/>
    <w:rsid w:val="001C5FCB"/>
    <w:rsid w:val="001D6E63"/>
    <w:rsid w:val="001D73E2"/>
    <w:rsid w:val="001E3F30"/>
    <w:rsid w:val="001E54AB"/>
    <w:rsid w:val="001F1DDC"/>
    <w:rsid w:val="00210313"/>
    <w:rsid w:val="0023605B"/>
    <w:rsid w:val="00237C97"/>
    <w:rsid w:val="002424FA"/>
    <w:rsid w:val="0024389A"/>
    <w:rsid w:val="00244149"/>
    <w:rsid w:val="002466FF"/>
    <w:rsid w:val="002529D8"/>
    <w:rsid w:val="0025566E"/>
    <w:rsid w:val="00264FD6"/>
    <w:rsid w:val="002754F3"/>
    <w:rsid w:val="00291612"/>
    <w:rsid w:val="002A1B95"/>
    <w:rsid w:val="002A3B77"/>
    <w:rsid w:val="002A3D86"/>
    <w:rsid w:val="002A6926"/>
    <w:rsid w:val="002B0FF7"/>
    <w:rsid w:val="002B533A"/>
    <w:rsid w:val="002C6EDA"/>
    <w:rsid w:val="002D624B"/>
    <w:rsid w:val="002E1B7E"/>
    <w:rsid w:val="002E3DED"/>
    <w:rsid w:val="002F1CFB"/>
    <w:rsid w:val="002F467D"/>
    <w:rsid w:val="00307AF8"/>
    <w:rsid w:val="00311137"/>
    <w:rsid w:val="003177CE"/>
    <w:rsid w:val="00322E8B"/>
    <w:rsid w:val="003252B3"/>
    <w:rsid w:val="0032615C"/>
    <w:rsid w:val="00331586"/>
    <w:rsid w:val="003415BB"/>
    <w:rsid w:val="0034350C"/>
    <w:rsid w:val="00344566"/>
    <w:rsid w:val="00352946"/>
    <w:rsid w:val="00361C7A"/>
    <w:rsid w:val="003641B0"/>
    <w:rsid w:val="0036447A"/>
    <w:rsid w:val="00381D89"/>
    <w:rsid w:val="00385E50"/>
    <w:rsid w:val="003876F6"/>
    <w:rsid w:val="0039426F"/>
    <w:rsid w:val="003A23B8"/>
    <w:rsid w:val="003A432E"/>
    <w:rsid w:val="003A5F28"/>
    <w:rsid w:val="003C2462"/>
    <w:rsid w:val="003D6D35"/>
    <w:rsid w:val="003E2BEC"/>
    <w:rsid w:val="003E44B4"/>
    <w:rsid w:val="003E4B00"/>
    <w:rsid w:val="003F185E"/>
    <w:rsid w:val="003F2E11"/>
    <w:rsid w:val="003F4E1B"/>
    <w:rsid w:val="003F7C91"/>
    <w:rsid w:val="00426B7F"/>
    <w:rsid w:val="004335E6"/>
    <w:rsid w:val="00435245"/>
    <w:rsid w:val="00450AA4"/>
    <w:rsid w:val="00450F7E"/>
    <w:rsid w:val="00451D8D"/>
    <w:rsid w:val="0045243D"/>
    <w:rsid w:val="004615EC"/>
    <w:rsid w:val="004756E7"/>
    <w:rsid w:val="0049231B"/>
    <w:rsid w:val="00496E62"/>
    <w:rsid w:val="004D32C7"/>
    <w:rsid w:val="004E2832"/>
    <w:rsid w:val="004E41EC"/>
    <w:rsid w:val="004E783E"/>
    <w:rsid w:val="00510A8F"/>
    <w:rsid w:val="00511BF7"/>
    <w:rsid w:val="00520B6E"/>
    <w:rsid w:val="00520BA6"/>
    <w:rsid w:val="0052666A"/>
    <w:rsid w:val="005376D3"/>
    <w:rsid w:val="00537E60"/>
    <w:rsid w:val="00541C86"/>
    <w:rsid w:val="00542AC1"/>
    <w:rsid w:val="00542B18"/>
    <w:rsid w:val="00545FA9"/>
    <w:rsid w:val="00557BA4"/>
    <w:rsid w:val="00561B45"/>
    <w:rsid w:val="0057314B"/>
    <w:rsid w:val="0058502F"/>
    <w:rsid w:val="00590AD7"/>
    <w:rsid w:val="00593B46"/>
    <w:rsid w:val="00596BDC"/>
    <w:rsid w:val="005B0545"/>
    <w:rsid w:val="005B2DFB"/>
    <w:rsid w:val="005C003A"/>
    <w:rsid w:val="005C0C2A"/>
    <w:rsid w:val="005C13EF"/>
    <w:rsid w:val="005D2476"/>
    <w:rsid w:val="005D6370"/>
    <w:rsid w:val="005F1695"/>
    <w:rsid w:val="005F2F7F"/>
    <w:rsid w:val="0060231B"/>
    <w:rsid w:val="00620058"/>
    <w:rsid w:val="006203A5"/>
    <w:rsid w:val="00621AD4"/>
    <w:rsid w:val="006238F5"/>
    <w:rsid w:val="006249AE"/>
    <w:rsid w:val="00631415"/>
    <w:rsid w:val="00632F4F"/>
    <w:rsid w:val="00644FD9"/>
    <w:rsid w:val="0065239A"/>
    <w:rsid w:val="00661FE5"/>
    <w:rsid w:val="0067788D"/>
    <w:rsid w:val="00683C18"/>
    <w:rsid w:val="006856FF"/>
    <w:rsid w:val="00694AC0"/>
    <w:rsid w:val="006A455C"/>
    <w:rsid w:val="006B37C4"/>
    <w:rsid w:val="006C0E94"/>
    <w:rsid w:val="006C401B"/>
    <w:rsid w:val="006E132C"/>
    <w:rsid w:val="006E1528"/>
    <w:rsid w:val="006E39BD"/>
    <w:rsid w:val="006F31AD"/>
    <w:rsid w:val="006F39E2"/>
    <w:rsid w:val="00701983"/>
    <w:rsid w:val="00712E07"/>
    <w:rsid w:val="0071305F"/>
    <w:rsid w:val="00716F76"/>
    <w:rsid w:val="00724699"/>
    <w:rsid w:val="00725C25"/>
    <w:rsid w:val="007278B8"/>
    <w:rsid w:val="0073067F"/>
    <w:rsid w:val="007344CD"/>
    <w:rsid w:val="007448C1"/>
    <w:rsid w:val="007467EF"/>
    <w:rsid w:val="00750263"/>
    <w:rsid w:val="00765F1A"/>
    <w:rsid w:val="00767625"/>
    <w:rsid w:val="00770246"/>
    <w:rsid w:val="00782083"/>
    <w:rsid w:val="00792981"/>
    <w:rsid w:val="00796D10"/>
    <w:rsid w:val="007A141D"/>
    <w:rsid w:val="007B3081"/>
    <w:rsid w:val="007B7EF0"/>
    <w:rsid w:val="007C5519"/>
    <w:rsid w:val="007C5A81"/>
    <w:rsid w:val="007C67C8"/>
    <w:rsid w:val="007C6CED"/>
    <w:rsid w:val="007E192E"/>
    <w:rsid w:val="007E764B"/>
    <w:rsid w:val="007F4281"/>
    <w:rsid w:val="008013EE"/>
    <w:rsid w:val="008033C2"/>
    <w:rsid w:val="00807134"/>
    <w:rsid w:val="00807659"/>
    <w:rsid w:val="00807EC2"/>
    <w:rsid w:val="008131C2"/>
    <w:rsid w:val="00814190"/>
    <w:rsid w:val="00814AD4"/>
    <w:rsid w:val="00822BC9"/>
    <w:rsid w:val="008317AB"/>
    <w:rsid w:val="00833CDC"/>
    <w:rsid w:val="00836618"/>
    <w:rsid w:val="0083698C"/>
    <w:rsid w:val="00836C76"/>
    <w:rsid w:val="00837EDC"/>
    <w:rsid w:val="00841626"/>
    <w:rsid w:val="00844FDE"/>
    <w:rsid w:val="00851E22"/>
    <w:rsid w:val="00856B0D"/>
    <w:rsid w:val="00864103"/>
    <w:rsid w:val="0086682E"/>
    <w:rsid w:val="008740F2"/>
    <w:rsid w:val="00875A86"/>
    <w:rsid w:val="008B0B50"/>
    <w:rsid w:val="008B6859"/>
    <w:rsid w:val="008C0F02"/>
    <w:rsid w:val="008D5E0B"/>
    <w:rsid w:val="008E52C1"/>
    <w:rsid w:val="008F623B"/>
    <w:rsid w:val="008F6B12"/>
    <w:rsid w:val="00904A3A"/>
    <w:rsid w:val="00904BD8"/>
    <w:rsid w:val="0092087D"/>
    <w:rsid w:val="00922572"/>
    <w:rsid w:val="0092277B"/>
    <w:rsid w:val="00925689"/>
    <w:rsid w:val="0093373A"/>
    <w:rsid w:val="009343BF"/>
    <w:rsid w:val="00934AC3"/>
    <w:rsid w:val="009467CA"/>
    <w:rsid w:val="00954DB4"/>
    <w:rsid w:val="009553EE"/>
    <w:rsid w:val="00962F83"/>
    <w:rsid w:val="00964FD6"/>
    <w:rsid w:val="00965002"/>
    <w:rsid w:val="0097063B"/>
    <w:rsid w:val="00970FB1"/>
    <w:rsid w:val="00980B74"/>
    <w:rsid w:val="00981FE6"/>
    <w:rsid w:val="00984E49"/>
    <w:rsid w:val="0099664D"/>
    <w:rsid w:val="009A1EC8"/>
    <w:rsid w:val="009A50E5"/>
    <w:rsid w:val="009B1C5B"/>
    <w:rsid w:val="009B695D"/>
    <w:rsid w:val="009C5EA8"/>
    <w:rsid w:val="009D0744"/>
    <w:rsid w:val="009D57F9"/>
    <w:rsid w:val="009E3607"/>
    <w:rsid w:val="009E4975"/>
    <w:rsid w:val="009E70C4"/>
    <w:rsid w:val="009F27D3"/>
    <w:rsid w:val="00A00E64"/>
    <w:rsid w:val="00A07BC9"/>
    <w:rsid w:val="00A13020"/>
    <w:rsid w:val="00A13F44"/>
    <w:rsid w:val="00A1481E"/>
    <w:rsid w:val="00A1772C"/>
    <w:rsid w:val="00A209A4"/>
    <w:rsid w:val="00A23DD2"/>
    <w:rsid w:val="00A256A5"/>
    <w:rsid w:val="00A32716"/>
    <w:rsid w:val="00A34B55"/>
    <w:rsid w:val="00A37BA0"/>
    <w:rsid w:val="00A40404"/>
    <w:rsid w:val="00A42986"/>
    <w:rsid w:val="00A42AD3"/>
    <w:rsid w:val="00A460CE"/>
    <w:rsid w:val="00A53CA4"/>
    <w:rsid w:val="00A541CD"/>
    <w:rsid w:val="00A65E14"/>
    <w:rsid w:val="00A7175C"/>
    <w:rsid w:val="00A74B90"/>
    <w:rsid w:val="00A80699"/>
    <w:rsid w:val="00A9147A"/>
    <w:rsid w:val="00A92B95"/>
    <w:rsid w:val="00A96C1F"/>
    <w:rsid w:val="00A96F6C"/>
    <w:rsid w:val="00AA3D4C"/>
    <w:rsid w:val="00AA55BB"/>
    <w:rsid w:val="00AB6BDB"/>
    <w:rsid w:val="00AD72CB"/>
    <w:rsid w:val="00AE1E74"/>
    <w:rsid w:val="00AE2B37"/>
    <w:rsid w:val="00AF2DE0"/>
    <w:rsid w:val="00AF65A1"/>
    <w:rsid w:val="00AF6F4B"/>
    <w:rsid w:val="00B0208C"/>
    <w:rsid w:val="00B133E1"/>
    <w:rsid w:val="00B14684"/>
    <w:rsid w:val="00B21E7E"/>
    <w:rsid w:val="00B30286"/>
    <w:rsid w:val="00B35100"/>
    <w:rsid w:val="00B50390"/>
    <w:rsid w:val="00B5434C"/>
    <w:rsid w:val="00B549D2"/>
    <w:rsid w:val="00B63427"/>
    <w:rsid w:val="00B66E52"/>
    <w:rsid w:val="00B8027C"/>
    <w:rsid w:val="00B8124D"/>
    <w:rsid w:val="00B907A8"/>
    <w:rsid w:val="00B97F09"/>
    <w:rsid w:val="00BA17B2"/>
    <w:rsid w:val="00BB6FBA"/>
    <w:rsid w:val="00BD1023"/>
    <w:rsid w:val="00BD2324"/>
    <w:rsid w:val="00BD2E39"/>
    <w:rsid w:val="00BD3033"/>
    <w:rsid w:val="00BD7D83"/>
    <w:rsid w:val="00C078AD"/>
    <w:rsid w:val="00C130D0"/>
    <w:rsid w:val="00C16D96"/>
    <w:rsid w:val="00C21DE3"/>
    <w:rsid w:val="00C31354"/>
    <w:rsid w:val="00C3395C"/>
    <w:rsid w:val="00C3458D"/>
    <w:rsid w:val="00C36D54"/>
    <w:rsid w:val="00C433E9"/>
    <w:rsid w:val="00C43650"/>
    <w:rsid w:val="00C439BC"/>
    <w:rsid w:val="00C46512"/>
    <w:rsid w:val="00C47DD5"/>
    <w:rsid w:val="00C52592"/>
    <w:rsid w:val="00C60D55"/>
    <w:rsid w:val="00C641E4"/>
    <w:rsid w:val="00C85F6F"/>
    <w:rsid w:val="00CA04A2"/>
    <w:rsid w:val="00CA13E7"/>
    <w:rsid w:val="00CC4F9A"/>
    <w:rsid w:val="00CD047D"/>
    <w:rsid w:val="00CD1D88"/>
    <w:rsid w:val="00CD35AA"/>
    <w:rsid w:val="00CE4305"/>
    <w:rsid w:val="00CE52D7"/>
    <w:rsid w:val="00CF150B"/>
    <w:rsid w:val="00D005AC"/>
    <w:rsid w:val="00D033DE"/>
    <w:rsid w:val="00D03B7E"/>
    <w:rsid w:val="00D0415F"/>
    <w:rsid w:val="00D34D9F"/>
    <w:rsid w:val="00D409F4"/>
    <w:rsid w:val="00D43CF2"/>
    <w:rsid w:val="00D57C5C"/>
    <w:rsid w:val="00D62E86"/>
    <w:rsid w:val="00D7699E"/>
    <w:rsid w:val="00D777E5"/>
    <w:rsid w:val="00D81142"/>
    <w:rsid w:val="00D815F0"/>
    <w:rsid w:val="00D8189D"/>
    <w:rsid w:val="00D83301"/>
    <w:rsid w:val="00D83EDB"/>
    <w:rsid w:val="00D955A2"/>
    <w:rsid w:val="00DA0914"/>
    <w:rsid w:val="00DA6140"/>
    <w:rsid w:val="00DA6D8E"/>
    <w:rsid w:val="00DB02EA"/>
    <w:rsid w:val="00DD2DC3"/>
    <w:rsid w:val="00DD5549"/>
    <w:rsid w:val="00DD6937"/>
    <w:rsid w:val="00DF1874"/>
    <w:rsid w:val="00DF6EC1"/>
    <w:rsid w:val="00DF7C4E"/>
    <w:rsid w:val="00E00D6F"/>
    <w:rsid w:val="00E03C00"/>
    <w:rsid w:val="00E064BB"/>
    <w:rsid w:val="00E06942"/>
    <w:rsid w:val="00E06D30"/>
    <w:rsid w:val="00E0723F"/>
    <w:rsid w:val="00E174F2"/>
    <w:rsid w:val="00E17EE0"/>
    <w:rsid w:val="00E25EB5"/>
    <w:rsid w:val="00E26221"/>
    <w:rsid w:val="00E300FB"/>
    <w:rsid w:val="00E34297"/>
    <w:rsid w:val="00E35FD2"/>
    <w:rsid w:val="00E467CA"/>
    <w:rsid w:val="00E54087"/>
    <w:rsid w:val="00E543E7"/>
    <w:rsid w:val="00E546D3"/>
    <w:rsid w:val="00E605C9"/>
    <w:rsid w:val="00E6509B"/>
    <w:rsid w:val="00E70B6A"/>
    <w:rsid w:val="00E72DE8"/>
    <w:rsid w:val="00E80DFA"/>
    <w:rsid w:val="00E82F36"/>
    <w:rsid w:val="00E8667A"/>
    <w:rsid w:val="00EA4B4C"/>
    <w:rsid w:val="00EB1E5C"/>
    <w:rsid w:val="00EC02D2"/>
    <w:rsid w:val="00EC4923"/>
    <w:rsid w:val="00ED25EA"/>
    <w:rsid w:val="00ED43B9"/>
    <w:rsid w:val="00ED5B87"/>
    <w:rsid w:val="00ED770D"/>
    <w:rsid w:val="00F064BD"/>
    <w:rsid w:val="00F06E60"/>
    <w:rsid w:val="00F1421E"/>
    <w:rsid w:val="00F17F61"/>
    <w:rsid w:val="00F21A2D"/>
    <w:rsid w:val="00F2422F"/>
    <w:rsid w:val="00F2705C"/>
    <w:rsid w:val="00F34F9B"/>
    <w:rsid w:val="00F57C1F"/>
    <w:rsid w:val="00F633B5"/>
    <w:rsid w:val="00F64494"/>
    <w:rsid w:val="00F67A54"/>
    <w:rsid w:val="00F73E42"/>
    <w:rsid w:val="00F75B3B"/>
    <w:rsid w:val="00F82D6F"/>
    <w:rsid w:val="00F8524B"/>
    <w:rsid w:val="00F9690B"/>
    <w:rsid w:val="00FB5682"/>
    <w:rsid w:val="00FB6D02"/>
    <w:rsid w:val="00FB721F"/>
    <w:rsid w:val="00FC3DC3"/>
    <w:rsid w:val="00FC4708"/>
    <w:rsid w:val="00FC60C0"/>
    <w:rsid w:val="00FC6200"/>
    <w:rsid w:val="00FD18EF"/>
    <w:rsid w:val="00FD40AD"/>
    <w:rsid w:val="00FF6240"/>
    <w:rsid w:val="00FF649C"/>
    <w:rsid w:val="00FF7D3F"/>
    <w:rsid w:val="032F6EA2"/>
    <w:rsid w:val="071D71E1"/>
    <w:rsid w:val="0AEB4262"/>
    <w:rsid w:val="0C136368"/>
    <w:rsid w:val="0E957609"/>
    <w:rsid w:val="0F5C64AE"/>
    <w:rsid w:val="0F665735"/>
    <w:rsid w:val="13392AB7"/>
    <w:rsid w:val="14BA79DD"/>
    <w:rsid w:val="156043BB"/>
    <w:rsid w:val="1A921843"/>
    <w:rsid w:val="1DC42862"/>
    <w:rsid w:val="21B51C3F"/>
    <w:rsid w:val="24F12F88"/>
    <w:rsid w:val="2604378E"/>
    <w:rsid w:val="260A3740"/>
    <w:rsid w:val="2760503F"/>
    <w:rsid w:val="3406015D"/>
    <w:rsid w:val="343431D8"/>
    <w:rsid w:val="35316D37"/>
    <w:rsid w:val="355345A2"/>
    <w:rsid w:val="35ED0511"/>
    <w:rsid w:val="38B375BE"/>
    <w:rsid w:val="3B790B30"/>
    <w:rsid w:val="3C200DC7"/>
    <w:rsid w:val="43E2514E"/>
    <w:rsid w:val="4410321A"/>
    <w:rsid w:val="44855599"/>
    <w:rsid w:val="483B7D26"/>
    <w:rsid w:val="4CFA3583"/>
    <w:rsid w:val="4F71596C"/>
    <w:rsid w:val="518B02FF"/>
    <w:rsid w:val="53D014D7"/>
    <w:rsid w:val="54986921"/>
    <w:rsid w:val="55000BEB"/>
    <w:rsid w:val="58971B71"/>
    <w:rsid w:val="5B984308"/>
    <w:rsid w:val="617C4EF0"/>
    <w:rsid w:val="631845FC"/>
    <w:rsid w:val="637E79B5"/>
    <w:rsid w:val="65621316"/>
    <w:rsid w:val="677A14D7"/>
    <w:rsid w:val="68554D80"/>
    <w:rsid w:val="69092F3F"/>
    <w:rsid w:val="69417FBB"/>
    <w:rsid w:val="6ADE7DDE"/>
    <w:rsid w:val="6BC01E76"/>
    <w:rsid w:val="709423EB"/>
    <w:rsid w:val="718D4B8B"/>
    <w:rsid w:val="74FF4101"/>
    <w:rsid w:val="7679435C"/>
    <w:rsid w:val="77CF358E"/>
    <w:rsid w:val="7CC46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Document Map"/>
    <w:basedOn w:val="1"/>
    <w:link w:val="30"/>
    <w:semiHidden/>
    <w:unhideWhenUsed/>
    <w:qFormat/>
    <w:uiPriority w:val="99"/>
    <w:rPr>
      <w:rFonts w:ascii="宋体" w:eastAsia="宋体"/>
      <w:sz w:val="18"/>
      <w:szCs w:val="18"/>
    </w:rPr>
  </w:style>
  <w:style w:type="paragraph" w:styleId="5">
    <w:name w:val="Body Text Indent 2"/>
    <w:basedOn w:val="1"/>
    <w:link w:val="29"/>
    <w:qFormat/>
    <w:uiPriority w:val="0"/>
    <w:pPr>
      <w:spacing w:line="312" w:lineRule="auto"/>
      <w:ind w:firstLine="480" w:firstLineChars="200"/>
    </w:pPr>
    <w:rPr>
      <w:rFonts w:ascii="Times New Roman" w:hAnsi="Times New Roman" w:eastAsia="宋体" w:cs="Times New Roman"/>
      <w:sz w:val="24"/>
      <w:szCs w:val="20"/>
    </w:rPr>
  </w:style>
  <w:style w:type="paragraph" w:styleId="6">
    <w:name w:val="Balloon Text"/>
    <w:basedOn w:val="1"/>
    <w:link w:val="28"/>
    <w:semiHidden/>
    <w:unhideWhenUsed/>
    <w:qFormat/>
    <w:uiPriority w:val="99"/>
    <w:rPr>
      <w:sz w:val="18"/>
      <w:szCs w:val="18"/>
    </w:r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FollowedHyperlink"/>
    <w:basedOn w:val="12"/>
    <w:semiHidden/>
    <w:unhideWhenUsed/>
    <w:qFormat/>
    <w:uiPriority w:val="99"/>
    <w:rPr>
      <w:color w:val="800080"/>
      <w:u w:val="none"/>
    </w:rPr>
  </w:style>
  <w:style w:type="character" w:styleId="15">
    <w:name w:val="Emphasis"/>
    <w:basedOn w:val="12"/>
    <w:qFormat/>
    <w:uiPriority w:val="20"/>
    <w:rPr>
      <w:b/>
    </w:rPr>
  </w:style>
  <w:style w:type="character" w:styleId="16">
    <w:name w:val="HTML Definition"/>
    <w:basedOn w:val="12"/>
    <w:semiHidden/>
    <w:unhideWhenUsed/>
    <w:qFormat/>
    <w:uiPriority w:val="99"/>
  </w:style>
  <w:style w:type="character" w:styleId="17">
    <w:name w:val="HTML Typewriter"/>
    <w:basedOn w:val="12"/>
    <w:semiHidden/>
    <w:unhideWhenUsed/>
    <w:qFormat/>
    <w:uiPriority w:val="99"/>
    <w:rPr>
      <w:rFonts w:hint="default" w:ascii="monospace" w:hAnsi="monospace" w:eastAsia="monospace" w:cs="monospace"/>
      <w:sz w:val="20"/>
    </w:rPr>
  </w:style>
  <w:style w:type="character" w:styleId="18">
    <w:name w:val="HTML Acronym"/>
    <w:basedOn w:val="12"/>
    <w:semiHidden/>
    <w:unhideWhenUsed/>
    <w:qFormat/>
    <w:uiPriority w:val="99"/>
  </w:style>
  <w:style w:type="character" w:styleId="19">
    <w:name w:val="HTML Variable"/>
    <w:basedOn w:val="12"/>
    <w:semiHidden/>
    <w:unhideWhenUsed/>
    <w:qFormat/>
    <w:uiPriority w:val="99"/>
  </w:style>
  <w:style w:type="character" w:styleId="20">
    <w:name w:val="Hyperlink"/>
    <w:basedOn w:val="12"/>
    <w:qFormat/>
    <w:uiPriority w:val="99"/>
    <w:rPr>
      <w:color w:val="0000FF"/>
      <w:u w:val="none"/>
    </w:rPr>
  </w:style>
  <w:style w:type="character" w:styleId="21">
    <w:name w:val="HTML Code"/>
    <w:basedOn w:val="12"/>
    <w:semiHidden/>
    <w:unhideWhenUsed/>
    <w:qFormat/>
    <w:uiPriority w:val="99"/>
    <w:rPr>
      <w:rFonts w:ascii="monospace" w:hAnsi="monospace" w:eastAsia="monospace" w:cs="monospace"/>
      <w:sz w:val="20"/>
    </w:rPr>
  </w:style>
  <w:style w:type="character" w:styleId="22">
    <w:name w:val="HTML Cite"/>
    <w:basedOn w:val="12"/>
    <w:semiHidden/>
    <w:unhideWhenUsed/>
    <w:qFormat/>
    <w:uiPriority w:val="99"/>
  </w:style>
  <w:style w:type="character" w:styleId="23">
    <w:name w:val="HTML Keyboard"/>
    <w:basedOn w:val="12"/>
    <w:semiHidden/>
    <w:unhideWhenUsed/>
    <w:qFormat/>
    <w:uiPriority w:val="99"/>
    <w:rPr>
      <w:rFonts w:hint="default" w:ascii="monospace" w:hAnsi="monospace" w:eastAsia="monospace" w:cs="monospace"/>
      <w:sz w:val="20"/>
    </w:rPr>
  </w:style>
  <w:style w:type="character" w:styleId="24">
    <w:name w:val="HTML Sample"/>
    <w:basedOn w:val="12"/>
    <w:semiHidden/>
    <w:unhideWhenUsed/>
    <w:qFormat/>
    <w:uiPriority w:val="99"/>
    <w:rPr>
      <w:rFonts w:hint="default" w:ascii="monospace" w:hAnsi="monospace" w:eastAsia="monospace" w:cs="monospace"/>
    </w:rPr>
  </w:style>
  <w:style w:type="character" w:customStyle="1" w:styleId="25">
    <w:name w:val="页眉 Char"/>
    <w:basedOn w:val="12"/>
    <w:link w:val="8"/>
    <w:qFormat/>
    <w:uiPriority w:val="99"/>
    <w:rPr>
      <w:sz w:val="18"/>
      <w:szCs w:val="18"/>
    </w:rPr>
  </w:style>
  <w:style w:type="character" w:customStyle="1" w:styleId="26">
    <w:name w:val="页脚 Char"/>
    <w:basedOn w:val="12"/>
    <w:link w:val="7"/>
    <w:qFormat/>
    <w:uiPriority w:val="99"/>
    <w:rPr>
      <w:sz w:val="18"/>
      <w:szCs w:val="18"/>
    </w:rPr>
  </w:style>
  <w:style w:type="paragraph" w:styleId="27">
    <w:name w:val="List Paragraph"/>
    <w:basedOn w:val="1"/>
    <w:qFormat/>
    <w:uiPriority w:val="34"/>
    <w:pPr>
      <w:ind w:firstLine="420" w:firstLineChars="200"/>
    </w:pPr>
    <w:rPr>
      <w:rFonts w:ascii="Times New Roman" w:hAnsi="Times New Roman" w:eastAsia="宋体" w:cs="Times New Roman"/>
      <w:szCs w:val="24"/>
    </w:rPr>
  </w:style>
  <w:style w:type="character" w:customStyle="1" w:styleId="28">
    <w:name w:val="批注框文本 Char"/>
    <w:basedOn w:val="12"/>
    <w:link w:val="6"/>
    <w:semiHidden/>
    <w:qFormat/>
    <w:uiPriority w:val="99"/>
    <w:rPr>
      <w:sz w:val="18"/>
      <w:szCs w:val="18"/>
    </w:rPr>
  </w:style>
  <w:style w:type="character" w:customStyle="1" w:styleId="29">
    <w:name w:val="正文文本缩进 2 Char"/>
    <w:basedOn w:val="12"/>
    <w:link w:val="5"/>
    <w:qFormat/>
    <w:uiPriority w:val="0"/>
    <w:rPr>
      <w:rFonts w:ascii="Times New Roman" w:hAnsi="Times New Roman" w:eastAsia="宋体" w:cs="Times New Roman"/>
      <w:sz w:val="24"/>
      <w:szCs w:val="20"/>
    </w:rPr>
  </w:style>
  <w:style w:type="character" w:customStyle="1" w:styleId="30">
    <w:name w:val="文档结构图 Char"/>
    <w:basedOn w:val="12"/>
    <w:link w:val="4"/>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942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372</Words>
  <Characters>2126</Characters>
  <Lines>17</Lines>
  <Paragraphs>4</Paragraphs>
  <TotalTime>0</TotalTime>
  <ScaleCrop>false</ScaleCrop>
  <LinksUpToDate>false</LinksUpToDate>
  <CharactersWithSpaces>2494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2016-03-14T01:02:00Z</dcterms:created>
  <dc:creator>ghg</dc:creator>
  <cp:lastModifiedBy>李嘉霖</cp:lastModifiedBy>
  <cp:lastPrinted>2019-01-18T01:14:00Z</cp:lastPrinted>
  <dcterms:modified xsi:type="dcterms:W3CDTF">2020-11-09T12:45:37Z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