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line="360" w:lineRule="auto"/>
        <w:ind w:left="311" w:leftChars="148" w:firstLine="604" w:firstLineChars="189"/>
        <w:jc w:val="both"/>
        <w:rPr>
          <w:rFonts w:hint="eastAsia" w:ascii="方正宋黑简体" w:hAnsi="方正宋黑简体" w:eastAsia="方正宋黑简体" w:cs="方正宋黑简体"/>
          <w:sz w:val="32"/>
          <w:szCs w:val="32"/>
        </w:rPr>
      </w:pPr>
      <w:bookmarkStart w:id="0" w:name="_Toc266462958"/>
      <w:r>
        <w:rPr>
          <w:rFonts w:hint="eastAsia" w:ascii="方正宋黑简体" w:hAnsi="方正宋黑简体" w:eastAsia="方正宋黑简体" w:cs="方正宋黑简体"/>
          <w:sz w:val="32"/>
          <w:szCs w:val="32"/>
        </w:rPr>
        <w:t>江西陶瓷工艺美术职业技术学院2020-2021学年第二学期低值易耗品定点采购供货商遴选项目比选公告</w:t>
      </w:r>
    </w:p>
    <w:p>
      <w:pPr>
        <w:tabs>
          <w:tab w:val="left" w:pos="567"/>
        </w:tabs>
        <w:spacing w:line="360" w:lineRule="auto"/>
        <w:ind w:left="311" w:leftChars="148" w:firstLine="453" w:firstLineChars="189"/>
        <w:jc w:val="both"/>
        <w:rPr>
          <w:rFonts w:hint="eastAsia" w:ascii="仿宋" w:hAnsi="仿宋" w:eastAsia="仿宋"/>
          <w:sz w:val="24"/>
          <w:szCs w:val="24"/>
        </w:rPr>
      </w:pPr>
    </w:p>
    <w:p>
      <w:pPr>
        <w:tabs>
          <w:tab w:val="left" w:pos="567"/>
        </w:tabs>
        <w:spacing w:line="360" w:lineRule="auto"/>
        <w:ind w:left="311" w:leftChars="148" w:firstLine="453" w:firstLineChars="189"/>
        <w:jc w:val="both"/>
      </w:pPr>
      <w:r>
        <w:rPr>
          <w:rFonts w:hint="eastAsia" w:ascii="仿宋" w:hAnsi="仿宋" w:eastAsia="仿宋"/>
          <w:sz w:val="24"/>
          <w:szCs w:val="24"/>
        </w:rPr>
        <w:t>江西陶瓷工艺美术职业技术学院资产管理处受学院委托，对江西陶瓷工艺美术职业技术学院2020-2021学年第二学期低值易耗品定点采购供货商遴选项目进行公开比选，欢迎符合资格条件的潜在应答人参与应答。</w:t>
      </w:r>
    </w:p>
    <w:bookmarkEnd w:id="0"/>
    <w:p>
      <w:pPr>
        <w:pStyle w:val="4"/>
        <w:rPr>
          <w:szCs w:val="24"/>
        </w:rPr>
      </w:pPr>
      <w:bookmarkStart w:id="1" w:name="_Toc298853201"/>
      <w:bookmarkStart w:id="2" w:name="_Toc27101"/>
      <w:r>
        <w:rPr>
          <w:szCs w:val="24"/>
        </w:rPr>
        <w:t>1</w:t>
      </w:r>
      <w:r>
        <w:rPr>
          <w:rFonts w:hint="eastAsia"/>
          <w:szCs w:val="24"/>
        </w:rPr>
        <w:t>.</w:t>
      </w:r>
      <w:bookmarkEnd w:id="1"/>
      <w:r>
        <w:rPr>
          <w:rFonts w:hint="eastAsia"/>
          <w:szCs w:val="24"/>
        </w:rPr>
        <w:t xml:space="preserve"> 比选条件</w:t>
      </w:r>
      <w:bookmarkEnd w:id="2"/>
    </w:p>
    <w:p>
      <w:pPr>
        <w:tabs>
          <w:tab w:val="left" w:pos="567"/>
        </w:tabs>
        <w:spacing w:line="360" w:lineRule="auto"/>
        <w:ind w:left="311" w:leftChars="148" w:firstLine="453" w:firstLineChars="189"/>
        <w:jc w:val="both"/>
        <w:rPr>
          <w:rFonts w:ascii="仿宋" w:hAnsi="仿宋" w:eastAsia="仿宋"/>
          <w:sz w:val="24"/>
          <w:szCs w:val="24"/>
        </w:rPr>
      </w:pPr>
      <w:r>
        <w:rPr>
          <w:rFonts w:hint="eastAsia" w:ascii="仿宋" w:hAnsi="仿宋" w:eastAsia="仿宋"/>
          <w:sz w:val="24"/>
          <w:szCs w:val="24"/>
        </w:rPr>
        <w:t>本项目为</w:t>
      </w:r>
      <w:r>
        <w:rPr>
          <w:rFonts w:hint="eastAsia" w:ascii="仿宋" w:hAnsi="仿宋" w:eastAsia="仿宋"/>
          <w:sz w:val="24"/>
          <w:szCs w:val="24"/>
          <w:u w:val="single"/>
        </w:rPr>
        <w:t>江西陶瓷工艺美术职业技术学院2020-2021学年第二学期低值易耗品定点采购供货商遴选项目</w:t>
      </w:r>
      <w:r>
        <w:rPr>
          <w:rFonts w:hint="eastAsia" w:ascii="仿宋" w:hAnsi="仿宋" w:eastAsia="仿宋"/>
          <w:sz w:val="24"/>
          <w:szCs w:val="24"/>
        </w:rPr>
        <w:t>，项目编号</w:t>
      </w:r>
      <w:r>
        <w:rPr>
          <w:rFonts w:hint="eastAsia" w:ascii="仿宋" w:hAnsi="仿宋" w:eastAsia="仿宋"/>
          <w:sz w:val="24"/>
          <w:szCs w:val="24"/>
          <w:u w:val="single"/>
        </w:rPr>
        <w:t>GYMY20210425001</w:t>
      </w:r>
      <w:r>
        <w:rPr>
          <w:rFonts w:hint="eastAsia" w:ascii="仿宋" w:hAnsi="仿宋" w:eastAsia="仿宋"/>
          <w:sz w:val="24"/>
          <w:szCs w:val="24"/>
        </w:rPr>
        <w:t>，比选人为</w:t>
      </w:r>
      <w:r>
        <w:rPr>
          <w:rFonts w:hint="eastAsia" w:ascii="仿宋" w:hAnsi="仿宋" w:eastAsia="仿宋"/>
          <w:sz w:val="24"/>
          <w:szCs w:val="24"/>
          <w:u w:val="single"/>
        </w:rPr>
        <w:t>江西陶瓷工艺美术职业技术学院</w:t>
      </w:r>
      <w:r>
        <w:rPr>
          <w:rFonts w:hint="eastAsia" w:ascii="仿宋" w:hAnsi="仿宋" w:eastAsia="仿宋"/>
          <w:sz w:val="24"/>
          <w:szCs w:val="24"/>
        </w:rPr>
        <w:t>，欢迎符合资格条件要求的</w:t>
      </w:r>
      <w:bookmarkStart w:id="14" w:name="_GoBack"/>
      <w:bookmarkEnd w:id="14"/>
      <w:r>
        <w:rPr>
          <w:rFonts w:hint="eastAsia" w:ascii="仿宋" w:hAnsi="仿宋" w:eastAsia="仿宋"/>
          <w:sz w:val="24"/>
          <w:szCs w:val="24"/>
        </w:rPr>
        <w:t>潜在应答人参与应答。</w:t>
      </w:r>
    </w:p>
    <w:p>
      <w:pPr>
        <w:pStyle w:val="4"/>
        <w:rPr>
          <w:rFonts w:hint="eastAsia"/>
          <w:szCs w:val="24"/>
        </w:rPr>
      </w:pPr>
      <w:bookmarkStart w:id="3" w:name="_Toc21390"/>
      <w:r>
        <w:rPr>
          <w:szCs w:val="24"/>
        </w:rPr>
        <w:t>2.</w:t>
      </w:r>
      <w:r>
        <w:rPr>
          <w:rFonts w:hint="eastAsia"/>
          <w:szCs w:val="24"/>
        </w:rPr>
        <w:t xml:space="preserve"> 项目概况与比选范围</w:t>
      </w:r>
      <w:bookmarkEnd w:id="3"/>
    </w:p>
    <w:tbl>
      <w:tblPr>
        <w:tblStyle w:val="8"/>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8"/>
        <w:gridCol w:w="878"/>
        <w:gridCol w:w="878"/>
        <w:gridCol w:w="1969"/>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13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采购项目名称</w:t>
            </w:r>
          </w:p>
        </w:tc>
        <w:tc>
          <w:tcPr>
            <w:tcW w:w="87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数量</w:t>
            </w:r>
          </w:p>
        </w:tc>
        <w:tc>
          <w:tcPr>
            <w:tcW w:w="87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单位</w:t>
            </w:r>
          </w:p>
        </w:tc>
        <w:tc>
          <w:tcPr>
            <w:tcW w:w="196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采购预算</w:t>
            </w:r>
          </w:p>
          <w:p>
            <w:pPr>
              <w:spacing w:line="46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（人民币）</w:t>
            </w:r>
          </w:p>
        </w:tc>
        <w:tc>
          <w:tcPr>
            <w:tcW w:w="198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13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bCs/>
                <w:color w:val="000000"/>
                <w:sz w:val="24"/>
                <w:szCs w:val="24"/>
              </w:rPr>
            </w:pPr>
            <w:r>
              <w:rPr>
                <w:rFonts w:hint="eastAsia" w:ascii="仿宋" w:hAnsi="仿宋" w:eastAsia="仿宋" w:cs="仿宋"/>
                <w:sz w:val="24"/>
                <w:szCs w:val="24"/>
              </w:rPr>
              <w:t>江西陶瓷工艺美术职业技术学院2020-2021学年第二学期低值易耗品定点采购供货商遴选项目</w:t>
            </w:r>
          </w:p>
        </w:tc>
        <w:tc>
          <w:tcPr>
            <w:tcW w:w="87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1 </w:t>
            </w:r>
          </w:p>
        </w:tc>
        <w:tc>
          <w:tcPr>
            <w:tcW w:w="8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批</w:t>
            </w:r>
          </w:p>
        </w:tc>
        <w:tc>
          <w:tcPr>
            <w:tcW w:w="1969" w:type="dxa"/>
            <w:tcBorders>
              <w:top w:val="single" w:color="auto" w:sz="4" w:space="0"/>
              <w:left w:val="single" w:color="auto" w:sz="4" w:space="0"/>
              <w:bottom w:val="single" w:color="auto" w:sz="4" w:space="0"/>
              <w:right w:val="single" w:color="auto" w:sz="4" w:space="0"/>
            </w:tcBorders>
            <w:vAlign w:val="center"/>
          </w:tcPr>
          <w:p>
            <w:pPr>
              <w:spacing w:line="460" w:lineRule="exact"/>
              <w:ind w:left="31" w:hanging="31" w:hangingChars="13"/>
              <w:jc w:val="center"/>
              <w:rPr>
                <w:rFonts w:ascii="仿宋" w:hAnsi="仿宋" w:eastAsia="仿宋" w:cs="仿宋"/>
                <w:color w:val="000000"/>
                <w:sz w:val="24"/>
                <w:szCs w:val="24"/>
              </w:rPr>
            </w:pPr>
            <w:r>
              <w:rPr>
                <w:rFonts w:hint="eastAsia" w:ascii="仿宋" w:hAnsi="仿宋" w:eastAsia="仿宋" w:cs="仿宋"/>
                <w:sz w:val="24"/>
                <w:szCs w:val="24"/>
              </w:rPr>
              <w:t>本项目无具体预算</w:t>
            </w:r>
          </w:p>
        </w:tc>
        <w:tc>
          <w:tcPr>
            <w:tcW w:w="198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详见“第五章采购需求一览表及采购要求”</w:t>
            </w:r>
          </w:p>
        </w:tc>
      </w:tr>
    </w:tbl>
    <w:p>
      <w:pPr>
        <w:spacing w:line="440" w:lineRule="exact"/>
        <w:ind w:firstLine="480" w:firstLineChars="200"/>
        <w:rPr>
          <w:rFonts w:hint="eastAsia" w:ascii="仿宋" w:hAnsi="仿宋" w:eastAsia="仿宋" w:cs="仿宋"/>
          <w:sz w:val="24"/>
          <w:szCs w:val="24"/>
        </w:rPr>
      </w:pPr>
      <w:bookmarkStart w:id="4" w:name="_Toc21580"/>
      <w:r>
        <w:rPr>
          <w:rFonts w:hint="eastAsia" w:ascii="仿宋" w:hAnsi="仿宋" w:eastAsia="仿宋" w:cs="仿宋"/>
          <w:sz w:val="24"/>
          <w:szCs w:val="24"/>
        </w:rPr>
        <w:t>供货期：2020-2021学年第二学期。</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本项目不接受联合体应答。</w:t>
      </w:r>
    </w:p>
    <w:p>
      <w:pPr>
        <w:pStyle w:val="4"/>
        <w:rPr>
          <w:szCs w:val="24"/>
        </w:rPr>
      </w:pPr>
      <w:r>
        <w:rPr>
          <w:szCs w:val="24"/>
        </w:rPr>
        <w:t>3.</w:t>
      </w:r>
      <w:r>
        <w:rPr>
          <w:rFonts w:hint="eastAsia"/>
          <w:szCs w:val="24"/>
        </w:rPr>
        <w:t xml:space="preserve"> 应答人资格要求</w:t>
      </w:r>
      <w:bookmarkEnd w:id="4"/>
    </w:p>
    <w:p>
      <w:pPr>
        <w:spacing w:line="360" w:lineRule="auto"/>
        <w:ind w:left="763" w:leftChars="150" w:hanging="448" w:hangingChars="187"/>
        <w:rPr>
          <w:rFonts w:hint="eastAsia" w:ascii="仿宋" w:hAnsi="仿宋" w:eastAsia="仿宋" w:cs="仿宋"/>
          <w:sz w:val="24"/>
          <w:szCs w:val="24"/>
        </w:rPr>
      </w:pPr>
      <w:r>
        <w:rPr>
          <w:rFonts w:hint="eastAsia" w:ascii="仿宋" w:hAnsi="仿宋" w:eastAsia="仿宋" w:cs="仿宋"/>
          <w:sz w:val="24"/>
          <w:szCs w:val="24"/>
        </w:rPr>
        <w:t>3.1具有独立承担民事责任的能力；</w:t>
      </w:r>
    </w:p>
    <w:p>
      <w:pPr>
        <w:spacing w:line="360" w:lineRule="auto"/>
        <w:ind w:left="763" w:leftChars="150" w:hanging="448" w:hangingChars="187"/>
        <w:rPr>
          <w:rFonts w:ascii="仿宋" w:hAnsi="仿宋" w:eastAsia="仿宋" w:cs="仿宋"/>
          <w:sz w:val="24"/>
          <w:szCs w:val="24"/>
        </w:rPr>
      </w:pPr>
      <w:r>
        <w:rPr>
          <w:rFonts w:hint="eastAsia" w:ascii="仿宋" w:hAnsi="仿宋" w:eastAsia="仿宋" w:cs="仿宋"/>
          <w:sz w:val="24"/>
          <w:szCs w:val="24"/>
        </w:rPr>
        <w:t>3.2具有良好的商业信誉和健全的财务会计制度；</w:t>
      </w:r>
    </w:p>
    <w:p>
      <w:pPr>
        <w:spacing w:line="360" w:lineRule="auto"/>
        <w:ind w:left="763" w:leftChars="150" w:hanging="448" w:hangingChars="187"/>
        <w:rPr>
          <w:rFonts w:hint="eastAsia" w:ascii="仿宋" w:hAnsi="仿宋" w:eastAsia="仿宋" w:cs="仿宋"/>
          <w:sz w:val="24"/>
          <w:szCs w:val="24"/>
        </w:rPr>
      </w:pPr>
      <w:r>
        <w:rPr>
          <w:rFonts w:hint="eastAsia" w:ascii="仿宋" w:hAnsi="仿宋" w:eastAsia="仿宋" w:cs="仿宋"/>
          <w:sz w:val="24"/>
          <w:szCs w:val="24"/>
        </w:rPr>
        <w:t>3.3有依法缴纳税收和社会保障资金的良好记录；</w:t>
      </w:r>
    </w:p>
    <w:p>
      <w:pPr>
        <w:spacing w:line="360" w:lineRule="auto"/>
        <w:ind w:left="763" w:leftChars="150" w:hanging="448" w:hangingChars="187"/>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4近三年无违纪违法经营记录的书面声明；</w:t>
      </w:r>
    </w:p>
    <w:p>
      <w:pPr>
        <w:spacing w:line="360" w:lineRule="auto"/>
        <w:ind w:left="763" w:leftChars="150" w:hanging="448" w:hangingChars="187"/>
        <w:rPr>
          <w:rFonts w:ascii="仿宋" w:hAnsi="仿宋" w:eastAsia="仿宋" w:cs="仿宋"/>
          <w:sz w:val="24"/>
          <w:szCs w:val="24"/>
        </w:rPr>
      </w:pPr>
      <w:r>
        <w:rPr>
          <w:rFonts w:hint="eastAsia" w:ascii="仿宋" w:hAnsi="仿宋" w:eastAsia="仿宋" w:cs="仿宋"/>
          <w:sz w:val="24"/>
          <w:szCs w:val="24"/>
        </w:rPr>
        <w:t>3.5法律、行政法规规定的其他条件及项目特殊要求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1）、单位负责人为同一人或者存在直接控股、管理关系的不同供应商，不得参加同一合同项下的采购活动。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2）、供应商被“信用中国”网站列入失信被执行人和重大税收违法案件当事人名单的，不得参与本项目的采购活动。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3）、本项目不接受联合体参加比选。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4）、其他资格条件：供应商在景德镇市区（包括浮梁县城）具有固定的经营场所；</w:t>
      </w:r>
    </w:p>
    <w:p>
      <w:pPr>
        <w:pStyle w:val="4"/>
        <w:rPr>
          <w:szCs w:val="24"/>
        </w:rPr>
      </w:pPr>
      <w:bookmarkStart w:id="5" w:name="_Toc30035"/>
      <w:r>
        <w:rPr>
          <w:szCs w:val="24"/>
        </w:rPr>
        <w:t>4.</w:t>
      </w:r>
      <w:r>
        <w:rPr>
          <w:rFonts w:hint="eastAsia"/>
          <w:szCs w:val="24"/>
        </w:rPr>
        <w:t xml:space="preserve"> 报名方法</w:t>
      </w:r>
      <w:bookmarkEnd w:id="5"/>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4.1 </w:t>
      </w:r>
      <w:r>
        <w:rPr>
          <w:rFonts w:hint="eastAsia" w:ascii="仿宋" w:hAnsi="仿宋" w:eastAsia="仿宋" w:cs="仿宋"/>
          <w:sz w:val="24"/>
          <w:szCs w:val="24"/>
        </w:rPr>
        <w:t>报名地点：江西陶瓷工艺美术职业技术学院行政楼120室（江西省景德镇市浮梁工美大道666号）。</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4.2 </w:t>
      </w:r>
      <w:r>
        <w:rPr>
          <w:rFonts w:hint="eastAsia" w:ascii="仿宋" w:hAnsi="仿宋" w:eastAsia="仿宋" w:cs="仿宋"/>
          <w:sz w:val="24"/>
          <w:szCs w:val="24"/>
        </w:rPr>
        <w:t>报名时间：2021年04月27日至2021年04月30日，每日上午</w:t>
      </w:r>
      <w:r>
        <w:rPr>
          <w:rFonts w:ascii="仿宋" w:hAnsi="仿宋" w:eastAsia="仿宋" w:cs="仿宋"/>
          <w:sz w:val="24"/>
          <w:szCs w:val="24"/>
        </w:rPr>
        <w:t>0</w:t>
      </w:r>
      <w:r>
        <w:rPr>
          <w:rFonts w:hint="eastAsia" w:ascii="仿宋" w:hAnsi="仿宋" w:eastAsia="仿宋" w:cs="仿宋"/>
          <w:sz w:val="24"/>
          <w:szCs w:val="24"/>
        </w:rPr>
        <w:t>8</w:t>
      </w:r>
      <w:r>
        <w:rPr>
          <w:rFonts w:ascii="仿宋" w:hAnsi="仿宋" w:eastAsia="仿宋" w:cs="仿宋"/>
          <w:sz w:val="24"/>
          <w:szCs w:val="24"/>
        </w:rPr>
        <w:t>:</w:t>
      </w:r>
      <w:r>
        <w:rPr>
          <w:rFonts w:hint="eastAsia" w:ascii="仿宋" w:hAnsi="仿宋" w:eastAsia="仿宋" w:cs="仿宋"/>
          <w:sz w:val="24"/>
          <w:szCs w:val="24"/>
        </w:rPr>
        <w:t>3</w:t>
      </w:r>
      <w:r>
        <w:rPr>
          <w:rFonts w:ascii="仿宋" w:hAnsi="仿宋" w:eastAsia="仿宋" w:cs="仿宋"/>
          <w:sz w:val="24"/>
          <w:szCs w:val="24"/>
        </w:rPr>
        <w:t>0</w:t>
      </w:r>
      <w:r>
        <w:rPr>
          <w:rFonts w:hint="eastAsia" w:ascii="仿宋" w:hAnsi="仿宋" w:eastAsia="仿宋" w:cs="仿宋"/>
          <w:sz w:val="24"/>
          <w:szCs w:val="24"/>
        </w:rPr>
        <w:t>至</w:t>
      </w:r>
      <w:r>
        <w:rPr>
          <w:rFonts w:ascii="仿宋" w:hAnsi="仿宋" w:eastAsia="仿宋" w:cs="仿宋"/>
          <w:sz w:val="24"/>
          <w:szCs w:val="24"/>
        </w:rPr>
        <w:t>1</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0</w:t>
      </w:r>
      <w:r>
        <w:rPr>
          <w:rFonts w:ascii="仿宋" w:hAnsi="仿宋" w:eastAsia="仿宋" w:cs="仿宋"/>
          <w:sz w:val="24"/>
          <w:szCs w:val="24"/>
        </w:rPr>
        <w:t>0</w:t>
      </w:r>
      <w:r>
        <w:rPr>
          <w:rFonts w:hint="eastAsia" w:ascii="仿宋" w:hAnsi="仿宋" w:eastAsia="仿宋" w:cs="仿宋"/>
          <w:sz w:val="24"/>
          <w:szCs w:val="24"/>
        </w:rPr>
        <w:t>，下午</w:t>
      </w:r>
      <w:r>
        <w:rPr>
          <w:rFonts w:ascii="仿宋" w:hAnsi="仿宋" w:eastAsia="仿宋" w:cs="仿宋"/>
          <w:sz w:val="24"/>
          <w:szCs w:val="24"/>
        </w:rPr>
        <w:t>14:00</w:t>
      </w:r>
      <w:r>
        <w:rPr>
          <w:rFonts w:hint="eastAsia" w:ascii="仿宋" w:hAnsi="仿宋" w:eastAsia="仿宋" w:cs="仿宋"/>
          <w:sz w:val="24"/>
          <w:szCs w:val="24"/>
        </w:rPr>
        <w:t>至17</w:t>
      </w:r>
      <w:r>
        <w:rPr>
          <w:rFonts w:ascii="仿宋" w:hAnsi="仿宋" w:eastAsia="仿宋" w:cs="仿宋"/>
          <w:sz w:val="24"/>
          <w:szCs w:val="24"/>
        </w:rPr>
        <w:t>:</w:t>
      </w:r>
      <w:r>
        <w:rPr>
          <w:rFonts w:hint="eastAsia" w:ascii="仿宋" w:hAnsi="仿宋" w:eastAsia="仿宋" w:cs="仿宋"/>
          <w:sz w:val="24"/>
          <w:szCs w:val="24"/>
        </w:rPr>
        <w:t>3</w:t>
      </w:r>
      <w:r>
        <w:rPr>
          <w:rFonts w:ascii="仿宋" w:hAnsi="仿宋" w:eastAsia="仿宋" w:cs="仿宋"/>
          <w:sz w:val="24"/>
          <w:szCs w:val="24"/>
        </w:rPr>
        <w:t>0</w:t>
      </w:r>
      <w:r>
        <w:rPr>
          <w:rFonts w:hint="eastAsia" w:ascii="仿宋" w:hAnsi="仿宋" w:eastAsia="仿宋" w:cs="仿宋"/>
          <w:sz w:val="24"/>
          <w:szCs w:val="24"/>
        </w:rPr>
        <w:t>（法定公休日、节假日除外，逾期不予受理）。</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4.3 </w:t>
      </w:r>
      <w:r>
        <w:rPr>
          <w:rFonts w:hint="eastAsia" w:ascii="仿宋" w:hAnsi="仿宋" w:eastAsia="仿宋" w:cs="仿宋"/>
          <w:sz w:val="24"/>
          <w:szCs w:val="24"/>
        </w:rPr>
        <w:t>应答人在报名时须提交以下材料原件：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1）营业执照复印件加盖应答人公章；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2）法人代表授权书原件、法人身份证复印件加盖公章和被授权委托人身份证复印件加盖应答人公章。</w:t>
      </w:r>
    </w:p>
    <w:p>
      <w:pPr>
        <w:pStyle w:val="4"/>
        <w:rPr>
          <w:szCs w:val="24"/>
        </w:rPr>
      </w:pPr>
      <w:bookmarkStart w:id="6" w:name="_Toc21096"/>
      <w:bookmarkStart w:id="7" w:name="_Toc394557803"/>
      <w:r>
        <w:rPr>
          <w:szCs w:val="24"/>
        </w:rPr>
        <w:t xml:space="preserve">5. </w:t>
      </w:r>
      <w:r>
        <w:rPr>
          <w:rFonts w:hint="eastAsia"/>
          <w:szCs w:val="24"/>
        </w:rPr>
        <w:t>递交应答文件地点及比选时间</w:t>
      </w:r>
      <w:bookmarkEnd w:id="6"/>
      <w:bookmarkEnd w:id="7"/>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5.1 </w:t>
      </w:r>
      <w:r>
        <w:rPr>
          <w:rFonts w:hint="eastAsia" w:ascii="仿宋" w:hAnsi="仿宋" w:eastAsia="仿宋" w:cs="仿宋"/>
          <w:sz w:val="24"/>
          <w:szCs w:val="24"/>
        </w:rPr>
        <w:t>比选时间及应答文件</w:t>
      </w:r>
      <w:r>
        <w:rPr>
          <w:rFonts w:ascii="仿宋" w:hAnsi="仿宋" w:eastAsia="仿宋" w:cs="仿宋"/>
          <w:sz w:val="24"/>
          <w:szCs w:val="24"/>
        </w:rPr>
        <w:t>递交截止时间</w:t>
      </w:r>
      <w:r>
        <w:rPr>
          <w:rFonts w:hint="eastAsia" w:ascii="仿宋" w:hAnsi="仿宋" w:eastAsia="仿宋" w:cs="仿宋"/>
          <w:sz w:val="24"/>
          <w:szCs w:val="24"/>
        </w:rPr>
        <w:t>：2021年5月6日15点00分（北京时间）</w:t>
      </w:r>
      <w:r>
        <w:rPr>
          <w:rFonts w:ascii="仿宋" w:hAnsi="仿宋" w:eastAsia="仿宋" w:cs="仿宋"/>
          <w:sz w:val="24"/>
          <w:szCs w:val="24"/>
        </w:rPr>
        <w:t>，届时请各供应商提前前往比选现场，逾期不予受理。</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5.2 </w:t>
      </w:r>
      <w:r>
        <w:rPr>
          <w:rFonts w:hint="eastAsia" w:ascii="仿宋" w:hAnsi="仿宋" w:eastAsia="仿宋" w:cs="仿宋"/>
          <w:sz w:val="24"/>
          <w:szCs w:val="24"/>
        </w:rPr>
        <w:t>递交应答文件及比选地点：江西陶瓷工艺美术职业技术学院行政楼211室（江西省景德镇市浮梁工美大道666号）。</w:t>
      </w:r>
    </w:p>
    <w:p>
      <w:pPr>
        <w:pStyle w:val="4"/>
        <w:rPr>
          <w:szCs w:val="24"/>
        </w:rPr>
      </w:pPr>
      <w:bookmarkStart w:id="8" w:name="_Toc394557804"/>
      <w:bookmarkStart w:id="9" w:name="_Toc15579"/>
      <w:r>
        <w:rPr>
          <w:szCs w:val="24"/>
        </w:rPr>
        <w:t xml:space="preserve">6. </w:t>
      </w:r>
      <w:r>
        <w:rPr>
          <w:rFonts w:hint="eastAsia"/>
          <w:szCs w:val="24"/>
        </w:rPr>
        <w:t>公告发布媒体</w:t>
      </w:r>
      <w:bookmarkEnd w:id="8"/>
      <w:bookmarkEnd w:id="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本公告在江西陶瓷工艺美术职业技术学院官网</w:t>
      </w:r>
      <w:r>
        <w:rPr>
          <w:rFonts w:ascii="仿宋" w:hAnsi="仿宋" w:eastAsia="仿宋" w:cs="仿宋"/>
          <w:szCs w:val="21"/>
        </w:rPr>
        <w:t>http://www.jxgymy.com/</w:t>
      </w:r>
      <w:r>
        <w:rPr>
          <w:rFonts w:hint="eastAsia" w:ascii="仿宋" w:hAnsi="仿宋" w:eastAsia="仿宋" w:cs="仿宋"/>
          <w:szCs w:val="21"/>
        </w:rPr>
        <w:t>）</w:t>
      </w:r>
      <w:r>
        <w:rPr>
          <w:rFonts w:hint="eastAsia" w:ascii="仿宋" w:hAnsi="仿宋" w:eastAsia="仿宋" w:cs="仿宋"/>
          <w:sz w:val="24"/>
          <w:szCs w:val="24"/>
        </w:rPr>
        <w:t>发布。</w:t>
      </w:r>
    </w:p>
    <w:p>
      <w:pPr>
        <w:pStyle w:val="4"/>
        <w:rPr>
          <w:szCs w:val="24"/>
        </w:rPr>
      </w:pPr>
      <w:bookmarkStart w:id="10" w:name="_Toc394557805"/>
      <w:bookmarkStart w:id="11" w:name="_Toc29154"/>
      <w:r>
        <w:rPr>
          <w:szCs w:val="24"/>
        </w:rPr>
        <w:t xml:space="preserve">7. </w:t>
      </w:r>
      <w:r>
        <w:rPr>
          <w:rFonts w:hint="eastAsia"/>
          <w:szCs w:val="24"/>
        </w:rPr>
        <w:t>比选文件售价</w:t>
      </w:r>
      <w:bookmarkEnd w:id="10"/>
      <w:bookmarkEnd w:id="1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本项目不适用。</w:t>
      </w:r>
    </w:p>
    <w:p>
      <w:pPr>
        <w:pStyle w:val="4"/>
        <w:rPr>
          <w:szCs w:val="24"/>
        </w:rPr>
      </w:pPr>
      <w:bookmarkStart w:id="12" w:name="_Toc394557806"/>
      <w:bookmarkStart w:id="13" w:name="_Toc18778"/>
      <w:r>
        <w:rPr>
          <w:szCs w:val="24"/>
        </w:rPr>
        <w:t xml:space="preserve">8. </w:t>
      </w:r>
      <w:r>
        <w:rPr>
          <w:rFonts w:hint="eastAsia"/>
          <w:szCs w:val="24"/>
        </w:rPr>
        <w:t>联系方式</w:t>
      </w:r>
      <w:bookmarkEnd w:id="12"/>
      <w:bookmarkEnd w:id="13"/>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8.1 </w:t>
      </w:r>
      <w:r>
        <w:rPr>
          <w:rFonts w:hint="eastAsia" w:ascii="仿宋" w:hAnsi="仿宋" w:eastAsia="仿宋" w:cs="仿宋"/>
          <w:sz w:val="24"/>
          <w:szCs w:val="24"/>
        </w:rPr>
        <w:t>比选人：江西陶瓷工艺美术职业技术学院</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 xml:space="preserve">8.2 </w:t>
      </w:r>
      <w:r>
        <w:rPr>
          <w:rFonts w:hint="eastAsia" w:ascii="仿宋" w:hAnsi="仿宋" w:eastAsia="仿宋" w:cs="仿宋"/>
          <w:sz w:val="24"/>
          <w:szCs w:val="24"/>
        </w:rPr>
        <w:t>联系人及电话：李先生0798-8252206（工作时间</w:t>
      </w:r>
      <w:r>
        <w:rPr>
          <w:rFonts w:ascii="仿宋" w:hAnsi="仿宋" w:eastAsia="仿宋" w:cs="仿宋"/>
          <w:sz w:val="24"/>
          <w:szCs w:val="24"/>
        </w:rPr>
        <w:t>09</w:t>
      </w:r>
      <w:r>
        <w:rPr>
          <w:rFonts w:hint="eastAsia" w:ascii="仿宋" w:hAnsi="仿宋" w:eastAsia="仿宋" w:cs="仿宋"/>
          <w:sz w:val="24"/>
          <w:szCs w:val="24"/>
        </w:rPr>
        <w:t>～12时，14</w:t>
      </w:r>
      <w:r>
        <w:rPr>
          <w:rFonts w:ascii="仿宋" w:hAnsi="仿宋" w:eastAsia="仿宋" w:cs="仿宋"/>
          <w:sz w:val="24"/>
          <w:szCs w:val="24"/>
        </w:rPr>
        <w:t>~17</w:t>
      </w:r>
      <w:r>
        <w:rPr>
          <w:rFonts w:hint="eastAsia" w:ascii="仿宋" w:hAnsi="仿宋" w:eastAsia="仿宋" w:cs="仿宋"/>
          <w:sz w:val="24"/>
          <w:szCs w:val="24"/>
        </w:rPr>
        <w:t>：30时）</w:t>
      </w:r>
    </w:p>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宋黑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inThickSmallGap" w:color="auto" w:sz="24" w:space="1"/>
      </w:pBdr>
      <w:wordWrap w:val="0"/>
      <w:jc w:val="right"/>
    </w:pPr>
    <w:r>
      <w:t xml:space="preserve">   </w:t>
    </w:r>
    <w:r>
      <w:fldChar w:fldCharType="begin"/>
    </w:r>
    <w:r>
      <w:instrText xml:space="preserve"> PAGE   \* MERGEFORMAT </w:instrText>
    </w:r>
    <w:r>
      <w:fldChar w:fldCharType="separate"/>
    </w:r>
    <w:r>
      <w:rPr>
        <w:lang w:val="zh-CN" w:eastAsia="zh-CN"/>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inThickSmallGap" w:color="auto" w:sz="24" w:space="1"/>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53"/>
    <w:rsid w:val="00757FD5"/>
    <w:rsid w:val="00F71C53"/>
    <w:rsid w:val="04AC4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21"/>
      <w:szCs w:val="20"/>
      <w:lang w:val="en-US" w:eastAsia="zh-CN" w:bidi="ar-SA"/>
    </w:rPr>
  </w:style>
  <w:style w:type="paragraph" w:styleId="3">
    <w:name w:val="heading 1"/>
    <w:basedOn w:val="1"/>
    <w:next w:val="1"/>
    <w:link w:val="10"/>
    <w:qFormat/>
    <w:uiPriority w:val="0"/>
    <w:pPr>
      <w:keepNext/>
      <w:jc w:val="center"/>
      <w:outlineLvl w:val="0"/>
    </w:pPr>
    <w:rPr>
      <w:rFonts w:ascii="黑体" w:eastAsia="黑体"/>
      <w:sz w:val="52"/>
    </w:rPr>
  </w:style>
  <w:style w:type="paragraph" w:styleId="4">
    <w:name w:val="heading 2"/>
    <w:basedOn w:val="1"/>
    <w:next w:val="5"/>
    <w:link w:val="11"/>
    <w:qFormat/>
    <w:uiPriority w:val="0"/>
    <w:pPr>
      <w:keepNext/>
      <w:keepLines/>
      <w:widowControl w:val="0"/>
      <w:spacing w:before="312" w:beforeLines="100" w:after="156" w:afterLines="50" w:line="360" w:lineRule="auto"/>
      <w:jc w:val="both"/>
      <w:outlineLvl w:val="1"/>
    </w:pPr>
    <w:rPr>
      <w:rFonts w:ascii="宋体" w:hAnsi="宋体"/>
      <w:b/>
      <w:bCs/>
      <w:sz w:val="28"/>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link w:val="13"/>
    <w:uiPriority w:val="99"/>
    <w:pPr>
      <w:tabs>
        <w:tab w:val="center" w:pos="4153"/>
        <w:tab w:val="right" w:pos="8306"/>
      </w:tabs>
      <w:snapToGrid w:val="0"/>
    </w:pPr>
    <w:rPr>
      <w:rFonts w:asciiTheme="minorHAnsi" w:hAnsiTheme="minorHAnsi" w:cstheme="minorBidi"/>
      <w:sz w:val="18"/>
      <w:szCs w:val="22"/>
    </w:rPr>
  </w:style>
  <w:style w:type="paragraph" w:styleId="5">
    <w:name w:val="Normal Indent"/>
    <w:basedOn w:val="1"/>
    <w:semiHidden/>
    <w:unhideWhenUsed/>
    <w:uiPriority w:val="99"/>
    <w:pPr>
      <w:ind w:firstLine="420" w:firstLineChars="200"/>
    </w:pPr>
  </w:style>
  <w:style w:type="paragraph" w:styleId="6">
    <w:name w:val="Body Text Indent 2"/>
    <w:basedOn w:val="1"/>
    <w:link w:val="16"/>
    <w:qFormat/>
    <w:uiPriority w:val="99"/>
    <w:pPr>
      <w:widowControl w:val="0"/>
      <w:spacing w:line="312" w:lineRule="auto"/>
      <w:ind w:firstLine="480" w:firstLineChars="200"/>
      <w:jc w:val="both"/>
    </w:pPr>
    <w:rPr>
      <w:rFonts w:ascii="Times New Roman" w:hAnsi="Times New Roman"/>
      <w:sz w:val="24"/>
    </w:rPr>
  </w:style>
  <w:style w:type="paragraph" w:styleId="7">
    <w:name w:val="header"/>
    <w:basedOn w:val="1"/>
    <w:link w:val="12"/>
    <w:uiPriority w:val="99"/>
    <w:pPr>
      <w:pBdr>
        <w:bottom w:val="single" w:color="auto" w:sz="6" w:space="1"/>
      </w:pBdr>
      <w:tabs>
        <w:tab w:val="center" w:pos="4153"/>
        <w:tab w:val="right" w:pos="8306"/>
      </w:tabs>
      <w:snapToGrid w:val="0"/>
      <w:jc w:val="center"/>
    </w:pPr>
    <w:rPr>
      <w:rFonts w:asciiTheme="minorHAnsi" w:hAnsiTheme="minorHAnsi" w:cstheme="minorBidi"/>
      <w:sz w:val="18"/>
      <w:szCs w:val="22"/>
    </w:rPr>
  </w:style>
  <w:style w:type="character" w:customStyle="1" w:styleId="10">
    <w:name w:val="标题 1 Char"/>
    <w:basedOn w:val="9"/>
    <w:link w:val="3"/>
    <w:uiPriority w:val="0"/>
    <w:rPr>
      <w:rFonts w:ascii="黑体" w:hAnsi="Calibri" w:eastAsia="黑体" w:cs="Times New Roman"/>
      <w:sz w:val="52"/>
      <w:szCs w:val="20"/>
    </w:rPr>
  </w:style>
  <w:style w:type="character" w:customStyle="1" w:styleId="11">
    <w:name w:val="标题 2 Char"/>
    <w:basedOn w:val="9"/>
    <w:link w:val="4"/>
    <w:uiPriority w:val="0"/>
    <w:rPr>
      <w:rFonts w:ascii="宋体" w:hAnsi="宋体" w:eastAsia="宋体" w:cs="Times New Roman"/>
      <w:b/>
      <w:bCs/>
      <w:sz w:val="28"/>
      <w:szCs w:val="28"/>
    </w:rPr>
  </w:style>
  <w:style w:type="character" w:customStyle="1" w:styleId="12">
    <w:name w:val="页眉 Char"/>
    <w:link w:val="7"/>
    <w:uiPriority w:val="99"/>
    <w:rPr>
      <w:rFonts w:eastAsia="宋体"/>
      <w:sz w:val="18"/>
    </w:rPr>
  </w:style>
  <w:style w:type="character" w:customStyle="1" w:styleId="13">
    <w:name w:val="页脚 Char"/>
    <w:link w:val="2"/>
    <w:uiPriority w:val="99"/>
    <w:rPr>
      <w:rFonts w:eastAsia="宋体"/>
      <w:sz w:val="18"/>
    </w:rPr>
  </w:style>
  <w:style w:type="character" w:customStyle="1" w:styleId="14">
    <w:name w:val="页脚 Char1"/>
    <w:basedOn w:val="9"/>
    <w:semiHidden/>
    <w:uiPriority w:val="99"/>
    <w:rPr>
      <w:rFonts w:ascii="Calibri" w:hAnsi="Calibri" w:eastAsia="宋体" w:cs="Times New Roman"/>
      <w:sz w:val="18"/>
      <w:szCs w:val="18"/>
    </w:rPr>
  </w:style>
  <w:style w:type="character" w:customStyle="1" w:styleId="15">
    <w:name w:val="页眉 Char1"/>
    <w:basedOn w:val="9"/>
    <w:semiHidden/>
    <w:uiPriority w:val="99"/>
    <w:rPr>
      <w:rFonts w:ascii="Calibri" w:hAnsi="Calibri" w:eastAsia="宋体" w:cs="Times New Roman"/>
      <w:sz w:val="18"/>
      <w:szCs w:val="18"/>
    </w:rPr>
  </w:style>
  <w:style w:type="character" w:customStyle="1" w:styleId="16">
    <w:name w:val="正文文本缩进 2 Char"/>
    <w:basedOn w:val="9"/>
    <w:link w:val="6"/>
    <w:uiPriority w:val="99"/>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江西陶瓷工艺美院</Company>
  <Pages>3</Pages>
  <Words>177</Words>
  <Characters>1011</Characters>
  <Lines>8</Lines>
  <Paragraphs>2</Paragraphs>
  <TotalTime>3</TotalTime>
  <ScaleCrop>false</ScaleCrop>
  <LinksUpToDate>false</LinksUpToDate>
  <CharactersWithSpaces>1186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2021-04-27T06:21:00Z</dcterms:created>
  <dc:creator>liyingxi</dc:creator>
  <cp:lastModifiedBy>Lenovo</cp:lastModifiedBy>
  <dcterms:modified xsi:type="dcterms:W3CDTF">2021-04-28T09:11:22Z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3A1AACD9EB354A9B9976C7B81169654C</vt:lpwstr>
  </property>
</Properties>
</file>